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D38" w:rsidRDefault="004A1D38" w:rsidP="004A1D38">
      <w:pPr>
        <w:jc w:val="left"/>
        <w:rPr>
          <w:szCs w:val="22"/>
        </w:rPr>
      </w:pPr>
      <w:r w:rsidRPr="00F62197">
        <w:rPr>
          <w:b/>
          <w:sz w:val="28"/>
          <w:szCs w:val="28"/>
          <w:u w:val="single"/>
        </w:rPr>
        <w:t xml:space="preserve">National road accident statistics submitted by </w:t>
      </w:r>
      <w:r>
        <w:rPr>
          <w:b/>
          <w:sz w:val="28"/>
          <w:szCs w:val="28"/>
          <w:u w:val="single"/>
        </w:rPr>
        <w:t>FEBETRA</w:t>
      </w:r>
      <w:r w:rsidRPr="00F62197">
        <w:rPr>
          <w:b/>
          <w:sz w:val="28"/>
          <w:szCs w:val="28"/>
          <w:u w:val="single"/>
        </w:rPr>
        <w:t xml:space="preserve">, </w:t>
      </w:r>
      <w:r>
        <w:rPr>
          <w:b/>
          <w:sz w:val="28"/>
          <w:szCs w:val="28"/>
          <w:u w:val="single"/>
        </w:rPr>
        <w:t>Belgium</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b/>
          <w:spacing w:val="-3"/>
          <w:szCs w:val="22"/>
        </w:rPr>
      </w:pPr>
      <w:r w:rsidRPr="00751EB0">
        <w:rPr>
          <w:rFonts w:cs="Arial"/>
          <w:b/>
          <w:spacing w:val="-3"/>
          <w:szCs w:val="22"/>
        </w:rPr>
        <w:t>1. Road accident statistics – general trends</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r w:rsidRPr="00751EB0">
        <w:rPr>
          <w:rFonts w:cs="Arial"/>
          <w:spacing w:val="-3"/>
          <w:szCs w:val="22"/>
        </w:rPr>
        <w:t xml:space="preserve">Table 1 below provides an overview of the </w:t>
      </w:r>
      <w:r>
        <w:rPr>
          <w:rFonts w:cs="Arial"/>
          <w:spacing w:val="-3"/>
          <w:szCs w:val="22"/>
        </w:rPr>
        <w:t>number</w:t>
      </w:r>
      <w:r w:rsidRPr="00751EB0">
        <w:rPr>
          <w:rFonts w:cs="Arial"/>
          <w:spacing w:val="-3"/>
          <w:szCs w:val="22"/>
        </w:rPr>
        <w:t xml:space="preserve"> of fatalities </w:t>
      </w:r>
      <w:r>
        <w:rPr>
          <w:rFonts w:cs="Arial"/>
          <w:spacing w:val="-3"/>
          <w:szCs w:val="22"/>
        </w:rPr>
        <w:t>in different regions, at different times of day and with different transport modes</w:t>
      </w:r>
      <w:r w:rsidRPr="00751EB0">
        <w:rPr>
          <w:rFonts w:cs="Arial"/>
          <w:spacing w:val="-3"/>
          <w:szCs w:val="22"/>
        </w:rPr>
        <w:t xml:space="preserve"> (</w:t>
      </w:r>
      <w:r>
        <w:rPr>
          <w:rFonts w:cs="Arial"/>
          <w:spacing w:val="-3"/>
          <w:szCs w:val="22"/>
        </w:rPr>
        <w:t>annual total number</w:t>
      </w:r>
      <w:r w:rsidRPr="007B1D1B">
        <w:rPr>
          <w:rFonts w:cs="Arial"/>
          <w:spacing w:val="-3"/>
          <w:szCs w:val="22"/>
        </w:rPr>
        <w:t xml:space="preserve"> of fatalities</w:t>
      </w:r>
      <w:r>
        <w:rPr>
          <w:rFonts w:cs="Arial"/>
          <w:spacing w:val="-3"/>
          <w:szCs w:val="22"/>
        </w:rPr>
        <w:t xml:space="preserve"> at the accident scene)</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 w:val="12"/>
          <w:szCs w:val="1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jc w:val="center"/>
        <w:rPr>
          <w:rFonts w:cs="Arial"/>
          <w:spacing w:val="-3"/>
          <w:szCs w:val="22"/>
        </w:rPr>
      </w:pPr>
      <w:r>
        <w:rPr>
          <w:rFonts w:cs="Arial"/>
          <w:noProof/>
          <w:spacing w:val="-3"/>
          <w:szCs w:val="22"/>
          <w:lang w:eastAsia="en-GB"/>
        </w:rPr>
        <w:drawing>
          <wp:inline distT="0" distB="0" distL="0" distR="0">
            <wp:extent cx="5356031" cy="6695497"/>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358929" cy="6699120"/>
                    </a:xfrm>
                    <a:prstGeom prst="rect">
                      <a:avLst/>
                    </a:prstGeom>
                    <a:noFill/>
                    <a:ln w="9525">
                      <a:noFill/>
                      <a:miter lim="800000"/>
                      <a:headEnd/>
                      <a:tailEnd/>
                    </a:ln>
                  </pic:spPr>
                </pic:pic>
              </a:graphicData>
            </a:graphic>
          </wp:inline>
        </w:drawing>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r>
        <w:rPr>
          <w:noProof/>
          <w:lang w:eastAsia="en-GB"/>
        </w:rPr>
        <w:drawing>
          <wp:anchor distT="0" distB="0" distL="114300" distR="114300" simplePos="0" relativeHeight="251659264" behindDoc="0" locked="0" layoutInCell="1" allowOverlap="1">
            <wp:simplePos x="0" y="0"/>
            <wp:positionH relativeFrom="column">
              <wp:posOffset>242570</wp:posOffset>
            </wp:positionH>
            <wp:positionV relativeFrom="paragraph">
              <wp:posOffset>26035</wp:posOffset>
            </wp:positionV>
            <wp:extent cx="5581650" cy="666750"/>
            <wp:effectExtent l="19050" t="0" r="0" b="0"/>
            <wp:wrapNone/>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581650" cy="666750"/>
                    </a:xfrm>
                    <a:prstGeom prst="rect">
                      <a:avLst/>
                    </a:prstGeom>
                    <a:noFill/>
                    <a:ln w="9525">
                      <a:noFill/>
                      <a:miter lim="800000"/>
                      <a:headEnd/>
                      <a:tailEnd/>
                    </a:ln>
                  </pic:spPr>
                </pic:pic>
              </a:graphicData>
            </a:graphic>
          </wp:anchor>
        </w:drawing>
      </w:r>
    </w:p>
    <w:p w:rsidR="004A1D38" w:rsidRDefault="004A1D38" w:rsidP="004A1D38">
      <w:pPr>
        <w:tabs>
          <w:tab w:val="left" w:pos="-1440"/>
          <w:tab w:val="left" w:pos="-720"/>
          <w:tab w:val="left" w:pos="567"/>
          <w:tab w:val="left" w:pos="709"/>
          <w:tab w:val="left" w:pos="851"/>
          <w:tab w:val="left" w:pos="1134"/>
          <w:tab w:val="right" w:pos="6521"/>
          <w:tab w:val="right" w:pos="8505"/>
        </w:tabs>
        <w:rPr>
          <w:rFonts w:cs="Arial"/>
          <w:spacing w:val="-3"/>
          <w:sz w:val="16"/>
          <w:szCs w:val="16"/>
          <w:vertAlign w:val="superscript"/>
        </w:rPr>
      </w:pPr>
    </w:p>
    <w:p w:rsidR="004A1D38" w:rsidRDefault="004A1D38" w:rsidP="004A1D38">
      <w:pPr>
        <w:tabs>
          <w:tab w:val="left" w:pos="-1440"/>
          <w:tab w:val="left" w:pos="-720"/>
          <w:tab w:val="left" w:pos="567"/>
          <w:tab w:val="left" w:pos="709"/>
          <w:tab w:val="left" w:pos="851"/>
          <w:tab w:val="left" w:pos="1134"/>
          <w:tab w:val="right" w:pos="6521"/>
          <w:tab w:val="right" w:pos="8505"/>
        </w:tabs>
        <w:rPr>
          <w:rFonts w:cs="Arial"/>
          <w:spacing w:val="-3"/>
          <w:sz w:val="16"/>
          <w:szCs w:val="16"/>
          <w:vertAlign w:val="superscript"/>
        </w:rPr>
      </w:pPr>
    </w:p>
    <w:p w:rsidR="004A1D38" w:rsidRDefault="004A1D38" w:rsidP="004A1D38">
      <w:pPr>
        <w:tabs>
          <w:tab w:val="left" w:pos="-1440"/>
          <w:tab w:val="left" w:pos="-720"/>
          <w:tab w:val="left" w:pos="567"/>
          <w:tab w:val="left" w:pos="709"/>
          <w:tab w:val="left" w:pos="851"/>
          <w:tab w:val="left" w:pos="1134"/>
          <w:tab w:val="right" w:pos="6521"/>
          <w:tab w:val="right" w:pos="8505"/>
        </w:tabs>
        <w:rPr>
          <w:rFonts w:cs="Arial"/>
          <w:spacing w:val="-3"/>
          <w:sz w:val="16"/>
          <w:szCs w:val="16"/>
          <w:vertAlign w:val="superscript"/>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 w:val="16"/>
          <w:szCs w:val="16"/>
        </w:rPr>
      </w:pPr>
      <w:r w:rsidRPr="00751EB0">
        <w:rPr>
          <w:rFonts w:cs="Arial"/>
          <w:spacing w:val="-3"/>
          <w:sz w:val="16"/>
          <w:szCs w:val="16"/>
          <w:vertAlign w:val="superscript"/>
        </w:rPr>
        <w:lastRenderedPageBreak/>
        <w:t>5</w:t>
      </w:r>
      <w:r w:rsidRPr="00751EB0">
        <w:rPr>
          <w:rFonts w:cs="Arial"/>
          <w:spacing w:val="-3"/>
          <w:sz w:val="16"/>
          <w:szCs w:val="16"/>
        </w:rPr>
        <w:t xml:space="preserve"> </w:t>
      </w:r>
      <w:r>
        <w:rPr>
          <w:rFonts w:cs="Arial"/>
          <w:spacing w:val="-3"/>
          <w:sz w:val="16"/>
          <w:szCs w:val="16"/>
        </w:rPr>
        <w:t>F</w:t>
      </w:r>
      <w:r w:rsidRPr="00751EB0">
        <w:rPr>
          <w:rFonts w:cs="Arial"/>
          <w:spacing w:val="-3"/>
          <w:sz w:val="16"/>
          <w:szCs w:val="16"/>
        </w:rPr>
        <w:t xml:space="preserve">atalities </w:t>
      </w:r>
      <w:r>
        <w:rPr>
          <w:rFonts w:cs="Arial"/>
          <w:spacing w:val="-3"/>
          <w:sz w:val="16"/>
          <w:szCs w:val="16"/>
        </w:rPr>
        <w:t xml:space="preserve">at the scene of the accident </w:t>
      </w:r>
      <w:r w:rsidRPr="00751EB0">
        <w:rPr>
          <w:rFonts w:cs="Arial"/>
          <w:spacing w:val="-3"/>
          <w:sz w:val="16"/>
          <w:szCs w:val="16"/>
        </w:rPr>
        <w:t xml:space="preserve">with missing variables are not included in this table, which explains </w:t>
      </w:r>
      <w:r>
        <w:rPr>
          <w:rFonts w:cs="Arial"/>
          <w:spacing w:val="-3"/>
          <w:sz w:val="16"/>
          <w:szCs w:val="16"/>
        </w:rPr>
        <w:t>why</w:t>
      </w:r>
      <w:r w:rsidRPr="00751EB0">
        <w:rPr>
          <w:rFonts w:cs="Arial"/>
          <w:spacing w:val="-3"/>
          <w:sz w:val="16"/>
          <w:szCs w:val="16"/>
        </w:rPr>
        <w:t xml:space="preserve"> the sum of categories does not always match the total number of fatalities recorded.</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 w:val="16"/>
          <w:szCs w:val="16"/>
        </w:rPr>
      </w:pPr>
      <w:r w:rsidRPr="00751EB0">
        <w:rPr>
          <w:rFonts w:cs="Arial"/>
          <w:spacing w:val="-3"/>
          <w:sz w:val="16"/>
          <w:szCs w:val="16"/>
          <w:vertAlign w:val="superscript"/>
        </w:rPr>
        <w:t>6</w:t>
      </w:r>
      <w:r w:rsidRPr="00751EB0">
        <w:rPr>
          <w:rFonts w:cs="Arial"/>
          <w:spacing w:val="-3"/>
          <w:sz w:val="16"/>
          <w:szCs w:val="16"/>
        </w:rPr>
        <w:t xml:space="preserve"> annual total for December 2012 = figure for December 2012 + figures for the 11 previous months.</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 w:val="16"/>
          <w:szCs w:val="16"/>
        </w:rPr>
      </w:pPr>
      <w:r w:rsidRPr="00751EB0">
        <w:rPr>
          <w:rFonts w:cs="Arial"/>
          <w:spacing w:val="-3"/>
          <w:sz w:val="16"/>
          <w:szCs w:val="16"/>
          <w:vertAlign w:val="superscript"/>
        </w:rPr>
        <w:t>7</w:t>
      </w:r>
      <w:r w:rsidRPr="00751EB0">
        <w:rPr>
          <w:rFonts w:cs="Arial"/>
          <w:spacing w:val="-3"/>
          <w:sz w:val="16"/>
          <w:szCs w:val="16"/>
        </w:rPr>
        <w:t xml:space="preserve"> annual total for December 2011 = figure for December 2011 + figures for the 11 previous months.</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r w:rsidRPr="00751EB0">
        <w:rPr>
          <w:rFonts w:cs="Arial"/>
          <w:spacing w:val="-3"/>
          <w:szCs w:val="22"/>
        </w:rPr>
        <w:t>These December figures offer an initial overview of the year 2012 as they provide t</w:t>
      </w:r>
      <w:r>
        <w:rPr>
          <w:rFonts w:cs="Arial"/>
          <w:spacing w:val="-3"/>
          <w:szCs w:val="22"/>
        </w:rPr>
        <w:t>he total number</w:t>
      </w:r>
      <w:r w:rsidRPr="00751EB0">
        <w:rPr>
          <w:rFonts w:cs="Arial"/>
          <w:spacing w:val="-3"/>
          <w:szCs w:val="22"/>
        </w:rPr>
        <w:t xml:space="preserve"> of accidents and casualties from 1 January to 31 December 2012.</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r w:rsidRPr="00751EB0">
        <w:rPr>
          <w:rFonts w:cs="Arial"/>
          <w:spacing w:val="-3"/>
          <w:szCs w:val="22"/>
        </w:rPr>
        <w:t xml:space="preserve">This year shows favourable results as the number of fatalities (at the </w:t>
      </w:r>
      <w:r>
        <w:rPr>
          <w:rFonts w:cs="Arial"/>
          <w:spacing w:val="-3"/>
          <w:szCs w:val="22"/>
        </w:rPr>
        <w:t xml:space="preserve">scene of the </w:t>
      </w:r>
      <w:r w:rsidRPr="00751EB0">
        <w:rPr>
          <w:rFonts w:cs="Arial"/>
          <w:spacing w:val="-3"/>
          <w:szCs w:val="22"/>
        </w:rPr>
        <w:t>accident) has decreased by 13.3% compared to 2011</w:t>
      </w:r>
      <w:r>
        <w:rPr>
          <w:rFonts w:cs="Arial"/>
          <w:spacing w:val="-3"/>
          <w:szCs w:val="22"/>
        </w:rPr>
        <w:t>,</w:t>
      </w:r>
      <w:r w:rsidRPr="00751EB0">
        <w:rPr>
          <w:rFonts w:cs="Arial"/>
          <w:spacing w:val="-3"/>
          <w:szCs w:val="22"/>
        </w:rPr>
        <w:t xml:space="preserve"> while the number of persons injured dropped by -8.5%. Absolute figures are particularly eloquent </w:t>
      </w:r>
      <w:r>
        <w:rPr>
          <w:rFonts w:cs="Arial"/>
          <w:spacing w:val="-3"/>
          <w:szCs w:val="22"/>
        </w:rPr>
        <w:t>as</w:t>
      </w:r>
      <w:r w:rsidRPr="00751EB0">
        <w:rPr>
          <w:rFonts w:cs="Arial"/>
          <w:spacing w:val="-3"/>
          <w:szCs w:val="22"/>
        </w:rPr>
        <w:t xml:space="preserve"> they report 100 fatalities</w:t>
      </w:r>
      <w:r>
        <w:rPr>
          <w:rFonts w:cs="Arial"/>
          <w:spacing w:val="-3"/>
          <w:szCs w:val="22"/>
        </w:rPr>
        <w:t xml:space="preserve"> at the scene of the accident</w:t>
      </w:r>
      <w:r w:rsidRPr="00751EB0">
        <w:rPr>
          <w:rFonts w:cs="Arial"/>
          <w:spacing w:val="-3"/>
          <w:szCs w:val="22"/>
        </w:rPr>
        <w:t xml:space="preserve"> </w:t>
      </w:r>
      <w:r>
        <w:rPr>
          <w:rFonts w:cs="Arial"/>
          <w:spacing w:val="-3"/>
          <w:szCs w:val="22"/>
        </w:rPr>
        <w:t>with</w:t>
      </w:r>
      <w:r w:rsidRPr="00751EB0">
        <w:rPr>
          <w:rFonts w:cs="Arial"/>
          <w:spacing w:val="-3"/>
          <w:szCs w:val="22"/>
        </w:rPr>
        <w:t xml:space="preserve"> 5,200 </w:t>
      </w:r>
      <w:r w:rsidRPr="00EB3021">
        <w:rPr>
          <w:rFonts w:cs="Arial"/>
          <w:spacing w:val="-3"/>
          <w:szCs w:val="22"/>
        </w:rPr>
        <w:t>injured</w:t>
      </w:r>
      <w:r w:rsidRPr="00751EB0">
        <w:rPr>
          <w:rFonts w:cs="Arial"/>
          <w:spacing w:val="-3"/>
          <w:szCs w:val="22"/>
        </w:rPr>
        <w:t xml:space="preserve"> less than the previous year. The number of </w:t>
      </w:r>
      <w:r w:rsidRPr="00EB3021">
        <w:rPr>
          <w:rFonts w:cs="Arial"/>
          <w:spacing w:val="-3"/>
          <w:szCs w:val="22"/>
        </w:rPr>
        <w:t>injuries</w:t>
      </w:r>
      <w:r>
        <w:rPr>
          <w:rFonts w:cs="Arial"/>
          <w:spacing w:val="-3"/>
          <w:szCs w:val="22"/>
        </w:rPr>
        <w:t xml:space="preserve"> </w:t>
      </w:r>
      <w:r w:rsidRPr="00751EB0">
        <w:rPr>
          <w:rFonts w:cs="Arial"/>
          <w:spacing w:val="-3"/>
          <w:szCs w:val="22"/>
        </w:rPr>
        <w:t>also follows a positive trend</w:t>
      </w:r>
      <w:r>
        <w:rPr>
          <w:rFonts w:cs="Arial"/>
          <w:spacing w:val="-3"/>
          <w:szCs w:val="22"/>
        </w:rPr>
        <w:t>,</w:t>
      </w:r>
      <w:r w:rsidRPr="00751EB0">
        <w:rPr>
          <w:rFonts w:cs="Arial"/>
          <w:spacing w:val="-3"/>
          <w:szCs w:val="22"/>
        </w:rPr>
        <w:t xml:space="preserve"> with a drop of -7.8% (-3,754).</w:t>
      </w:r>
      <w:r>
        <w:rPr>
          <w:rFonts w:cs="Arial"/>
          <w:spacing w:val="-3"/>
          <w:szCs w:val="22"/>
        </w:rPr>
        <w:t xml:space="preserve"> </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r w:rsidRPr="00751EB0">
        <w:rPr>
          <w:rFonts w:cs="Arial"/>
          <w:spacing w:val="-3"/>
          <w:szCs w:val="22"/>
        </w:rPr>
        <w:t>The 2012 totals include 672 fatalities</w:t>
      </w:r>
      <w:r>
        <w:rPr>
          <w:rFonts w:cs="Arial"/>
          <w:spacing w:val="-3"/>
          <w:szCs w:val="22"/>
        </w:rPr>
        <w:t xml:space="preserve"> at the scene of the accident</w:t>
      </w:r>
      <w:r w:rsidRPr="00751EB0">
        <w:rPr>
          <w:rFonts w:cs="Arial"/>
          <w:spacing w:val="-3"/>
          <w:szCs w:val="22"/>
        </w:rPr>
        <w:t>, 56,223 injured and 44,097 accidents with bodily injuries, i.e</w:t>
      </w:r>
      <w:r w:rsidRPr="00EB3021">
        <w:rPr>
          <w:rFonts w:cs="Arial"/>
          <w:spacing w:val="-3"/>
          <w:szCs w:val="22"/>
        </w:rPr>
        <w:t xml:space="preserve">. the lowest number of casualties and accidents ever recorded </w:t>
      </w:r>
      <w:r w:rsidRPr="00100498">
        <w:rPr>
          <w:rFonts w:cs="Arial"/>
          <w:spacing w:val="-3"/>
          <w:szCs w:val="22"/>
        </w:rPr>
        <w:t xml:space="preserve">since </w:t>
      </w:r>
      <w:r>
        <w:rPr>
          <w:rFonts w:cs="Arial"/>
          <w:spacing w:val="-3"/>
          <w:szCs w:val="22"/>
        </w:rPr>
        <w:t>this barometer was created</w:t>
      </w:r>
      <w:r w:rsidRPr="00751EB0">
        <w:rPr>
          <w:rFonts w:cs="Arial"/>
          <w:spacing w:val="-3"/>
          <w:szCs w:val="22"/>
        </w:rPr>
        <w:t xml:space="preserve">. Such a percentage drop in the number of </w:t>
      </w:r>
      <w:r>
        <w:rPr>
          <w:rFonts w:cs="Arial"/>
          <w:spacing w:val="-3"/>
          <w:szCs w:val="22"/>
        </w:rPr>
        <w:t>accident scene</w:t>
      </w:r>
      <w:r w:rsidRPr="00751EB0">
        <w:rPr>
          <w:rFonts w:cs="Arial"/>
          <w:spacing w:val="-3"/>
          <w:szCs w:val="22"/>
        </w:rPr>
        <w:t xml:space="preserve"> fatalities has not been observed since the February 2009</w:t>
      </w:r>
      <w:r>
        <w:rPr>
          <w:rFonts w:cs="Arial"/>
          <w:spacing w:val="-3"/>
          <w:szCs w:val="22"/>
        </w:rPr>
        <w:t xml:space="preserve"> statistics</w:t>
      </w:r>
      <w:r w:rsidRPr="00751EB0">
        <w:rPr>
          <w:rFonts w:cs="Arial"/>
          <w:spacing w:val="-3"/>
          <w:szCs w:val="22"/>
        </w:rPr>
        <w:t>, and no such decrease in the number of accidents has ever been observed.</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r w:rsidRPr="00751EB0">
        <w:rPr>
          <w:rFonts w:cs="Arial"/>
          <w:spacing w:val="-3"/>
          <w:szCs w:val="22"/>
        </w:rPr>
        <w:t xml:space="preserve">Based on the number of </w:t>
      </w:r>
      <w:r>
        <w:rPr>
          <w:rFonts w:cs="Arial"/>
          <w:spacing w:val="-3"/>
          <w:szCs w:val="22"/>
        </w:rPr>
        <w:t>accident scene</w:t>
      </w:r>
      <w:r w:rsidRPr="00751EB0">
        <w:rPr>
          <w:rFonts w:cs="Arial"/>
          <w:spacing w:val="-3"/>
          <w:szCs w:val="22"/>
        </w:rPr>
        <w:t xml:space="preserve"> fatalities, </w:t>
      </w:r>
      <w:r>
        <w:rPr>
          <w:rFonts w:cs="Arial"/>
          <w:spacing w:val="-3"/>
          <w:szCs w:val="22"/>
        </w:rPr>
        <w:t xml:space="preserve">it may be possible to produce estimates of </w:t>
      </w:r>
      <w:r w:rsidRPr="00751EB0">
        <w:rPr>
          <w:rFonts w:cs="Arial"/>
          <w:spacing w:val="-3"/>
          <w:szCs w:val="22"/>
        </w:rPr>
        <w:t>the number of fatalities at 30 days</w:t>
      </w:r>
      <w:r>
        <w:rPr>
          <w:rFonts w:cs="Arial"/>
          <w:spacing w:val="-3"/>
          <w:szCs w:val="22"/>
        </w:rPr>
        <w:t xml:space="preserve">, </w:t>
      </w:r>
      <w:r w:rsidRPr="00751EB0">
        <w:rPr>
          <w:rFonts w:cs="Arial"/>
          <w:spacing w:val="-3"/>
          <w:szCs w:val="22"/>
        </w:rPr>
        <w:t>i.e. the official number of road fatalities</w:t>
      </w:r>
      <w:proofErr w:type="gramStart"/>
      <w:r w:rsidRPr="00751EB0">
        <w:rPr>
          <w:rFonts w:cs="Arial"/>
          <w:spacing w:val="-3"/>
          <w:szCs w:val="22"/>
        </w:rPr>
        <w:t>)</w:t>
      </w:r>
      <w:r w:rsidRPr="00751EB0">
        <w:rPr>
          <w:rFonts w:cs="Arial"/>
          <w:spacing w:val="-3"/>
          <w:szCs w:val="22"/>
          <w:vertAlign w:val="superscript"/>
        </w:rPr>
        <w:t>8</w:t>
      </w:r>
      <w:proofErr w:type="gramEnd"/>
      <w:r w:rsidRPr="00751EB0">
        <w:rPr>
          <w:rFonts w:cs="Arial"/>
          <w:spacing w:val="-3"/>
          <w:szCs w:val="22"/>
        </w:rPr>
        <w:t xml:space="preserve"> for the year 2012. According to estimates, this number is +/- 750 fatalities at 30 days</w:t>
      </w:r>
      <w:r>
        <w:rPr>
          <w:rFonts w:cs="Arial"/>
          <w:spacing w:val="-3"/>
          <w:szCs w:val="22"/>
        </w:rPr>
        <w:t xml:space="preserve">, </w:t>
      </w:r>
      <w:r w:rsidRPr="00751EB0">
        <w:rPr>
          <w:rFonts w:cs="Arial"/>
          <w:spacing w:val="-3"/>
          <w:szCs w:val="22"/>
        </w:rPr>
        <w:t>which is well on the way to reach</w:t>
      </w:r>
      <w:r>
        <w:rPr>
          <w:rFonts w:cs="Arial"/>
          <w:spacing w:val="-3"/>
          <w:szCs w:val="22"/>
        </w:rPr>
        <w:t>ing</w:t>
      </w:r>
      <w:r w:rsidRPr="00751EB0">
        <w:rPr>
          <w:rFonts w:cs="Arial"/>
          <w:spacing w:val="-3"/>
          <w:szCs w:val="22"/>
        </w:rPr>
        <w:t xml:space="preserve"> the objective of 630 fatalities at 30 days for 2015 (420 by 2020) set by the 2011 Road Safety Forum (</w:t>
      </w:r>
      <w:proofErr w:type="spellStart"/>
      <w:r w:rsidRPr="00751EB0">
        <w:rPr>
          <w:rFonts w:cs="Arial"/>
          <w:spacing w:val="-3"/>
          <w:szCs w:val="22"/>
        </w:rPr>
        <w:t>Etats</w:t>
      </w:r>
      <w:proofErr w:type="spellEnd"/>
      <w:r w:rsidRPr="00751EB0">
        <w:rPr>
          <w:rFonts w:cs="Arial"/>
          <w:spacing w:val="-3"/>
          <w:szCs w:val="22"/>
        </w:rPr>
        <w:t xml:space="preserve"> </w:t>
      </w:r>
      <w:proofErr w:type="spellStart"/>
      <w:r w:rsidRPr="00751EB0">
        <w:rPr>
          <w:rFonts w:cs="Arial"/>
          <w:spacing w:val="-3"/>
          <w:szCs w:val="22"/>
        </w:rPr>
        <w:t>Généraux</w:t>
      </w:r>
      <w:proofErr w:type="spellEnd"/>
      <w:r w:rsidRPr="00751EB0">
        <w:rPr>
          <w:rFonts w:cs="Arial"/>
          <w:spacing w:val="-3"/>
          <w:szCs w:val="22"/>
        </w:rPr>
        <w:t xml:space="preserve"> de la </w:t>
      </w:r>
      <w:proofErr w:type="spellStart"/>
      <w:r w:rsidRPr="00751EB0">
        <w:rPr>
          <w:rFonts w:cs="Arial"/>
          <w:spacing w:val="-3"/>
          <w:szCs w:val="22"/>
        </w:rPr>
        <w:t>Sécurité</w:t>
      </w:r>
      <w:proofErr w:type="spellEnd"/>
      <w:r w:rsidRPr="00751EB0">
        <w:rPr>
          <w:rFonts w:cs="Arial"/>
          <w:spacing w:val="-3"/>
          <w:szCs w:val="22"/>
        </w:rPr>
        <w:t xml:space="preserve"> </w:t>
      </w:r>
      <w:proofErr w:type="spellStart"/>
      <w:r w:rsidRPr="00751EB0">
        <w:rPr>
          <w:rFonts w:cs="Arial"/>
          <w:spacing w:val="-3"/>
          <w:szCs w:val="22"/>
        </w:rPr>
        <w:t>Routière</w:t>
      </w:r>
      <w:proofErr w:type="spellEnd"/>
      <w:r w:rsidRPr="00751EB0">
        <w:rPr>
          <w:rFonts w:cs="Arial"/>
          <w:spacing w:val="-3"/>
          <w:szCs w:val="22"/>
        </w:rPr>
        <w:t>). In 2011, Belgium officially counted 858 fatalities at 30 days</w:t>
      </w:r>
      <w:r>
        <w:rPr>
          <w:rFonts w:cs="Arial"/>
          <w:spacing w:val="-3"/>
          <w:szCs w:val="22"/>
        </w:rPr>
        <w:t>.</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r w:rsidRPr="00751EB0">
        <w:rPr>
          <w:rFonts w:cs="Arial"/>
          <w:spacing w:val="-3"/>
          <w:szCs w:val="22"/>
        </w:rPr>
        <w:t xml:space="preserve">These </w:t>
      </w:r>
      <w:r>
        <w:rPr>
          <w:rFonts w:cs="Arial"/>
          <w:spacing w:val="-3"/>
          <w:szCs w:val="22"/>
        </w:rPr>
        <w:t>positive</w:t>
      </w:r>
      <w:r w:rsidRPr="00751EB0">
        <w:rPr>
          <w:rFonts w:cs="Arial"/>
          <w:spacing w:val="-3"/>
          <w:szCs w:val="22"/>
        </w:rPr>
        <w:t xml:space="preserve"> results are partly explained by the comparison with the annual total for the month of December 2011</w:t>
      </w:r>
      <w:r>
        <w:rPr>
          <w:rFonts w:cs="Arial"/>
          <w:spacing w:val="-3"/>
          <w:szCs w:val="22"/>
        </w:rPr>
        <w:t>,</w:t>
      </w:r>
      <w:r w:rsidRPr="00751EB0">
        <w:rPr>
          <w:rFonts w:cs="Arial"/>
          <w:spacing w:val="-3"/>
          <w:szCs w:val="22"/>
        </w:rPr>
        <w:t xml:space="preserve"> which </w:t>
      </w:r>
      <w:r>
        <w:rPr>
          <w:rFonts w:cs="Arial"/>
          <w:spacing w:val="-3"/>
          <w:szCs w:val="22"/>
        </w:rPr>
        <w:t>showed</w:t>
      </w:r>
      <w:r w:rsidRPr="00751EB0">
        <w:rPr>
          <w:rFonts w:cs="Arial"/>
          <w:spacing w:val="-3"/>
          <w:szCs w:val="22"/>
        </w:rPr>
        <w:t xml:space="preserve"> unfavourable figures (i.e. higher numbers than previous months).</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r w:rsidRPr="00751EB0">
        <w:rPr>
          <w:rFonts w:cs="Arial"/>
          <w:spacing w:val="-3"/>
          <w:szCs w:val="22"/>
        </w:rPr>
        <w:t>However, the decrease remains significant when comparing with the annual total for November 2011.</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r w:rsidRPr="00751EB0">
        <w:rPr>
          <w:rFonts w:cs="Arial"/>
          <w:spacing w:val="-3"/>
          <w:szCs w:val="22"/>
        </w:rPr>
        <w:t xml:space="preserve">According to weather records, precipitation in the year 2012 was </w:t>
      </w:r>
      <w:r>
        <w:rPr>
          <w:rFonts w:cs="Arial"/>
          <w:spacing w:val="-3"/>
          <w:szCs w:val="22"/>
        </w:rPr>
        <w:t>above average</w:t>
      </w:r>
      <w:r w:rsidRPr="00751EB0">
        <w:rPr>
          <w:rFonts w:cs="Arial"/>
          <w:spacing w:val="-3"/>
          <w:szCs w:val="22"/>
        </w:rPr>
        <w:t xml:space="preserve"> (both in frequency and intensity) over the period 1981-2010</w:t>
      </w:r>
      <w:r w:rsidRPr="00751EB0">
        <w:rPr>
          <w:rFonts w:cs="Arial"/>
          <w:spacing w:val="-3"/>
          <w:szCs w:val="22"/>
          <w:vertAlign w:val="superscript"/>
        </w:rPr>
        <w:t>9</w:t>
      </w:r>
      <w:r w:rsidRPr="00751EB0">
        <w:rPr>
          <w:rFonts w:cs="Arial"/>
          <w:spacing w:val="-3"/>
          <w:szCs w:val="22"/>
        </w:rPr>
        <w:t>. These specific conditions may have reduced accident occurrence on Belgian roads by reducing the number of users embarking on a trip and urging those who did set off to drive more cautiously.</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r w:rsidRPr="00751EB0">
        <w:rPr>
          <w:rFonts w:cs="Arial"/>
          <w:spacing w:val="-3"/>
          <w:szCs w:val="22"/>
        </w:rPr>
        <w:t>Whereas certain months with particularly adverse weather conditions (February, April and June) indeed recorded a major drop in the number</w:t>
      </w:r>
      <w:r>
        <w:rPr>
          <w:rFonts w:cs="Arial"/>
          <w:spacing w:val="-3"/>
          <w:szCs w:val="22"/>
        </w:rPr>
        <w:t xml:space="preserve"> </w:t>
      </w:r>
      <w:r w:rsidRPr="00751EB0">
        <w:rPr>
          <w:rFonts w:cs="Arial"/>
          <w:spacing w:val="-3"/>
          <w:szCs w:val="22"/>
        </w:rPr>
        <w:t xml:space="preserve">of accidents (and fatalities) in relation to previous years, more moderate </w:t>
      </w:r>
      <w:r>
        <w:rPr>
          <w:rFonts w:cs="Arial"/>
          <w:spacing w:val="-3"/>
          <w:szCs w:val="22"/>
        </w:rPr>
        <w:t>decreases</w:t>
      </w:r>
      <w:r w:rsidRPr="00751EB0">
        <w:rPr>
          <w:rFonts w:cs="Arial"/>
          <w:spacing w:val="-3"/>
          <w:szCs w:val="22"/>
        </w:rPr>
        <w:t xml:space="preserve"> also affect other months where the weather was closer to seasonal averages.</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r w:rsidRPr="00751EB0">
        <w:rPr>
          <w:rFonts w:cs="Arial"/>
          <w:spacing w:val="-3"/>
          <w:szCs w:val="22"/>
        </w:rPr>
        <w:t xml:space="preserve">Therefore, weather conditions alone </w:t>
      </w:r>
      <w:r>
        <w:rPr>
          <w:rFonts w:cs="Arial"/>
          <w:spacing w:val="-3"/>
          <w:szCs w:val="22"/>
        </w:rPr>
        <w:t xml:space="preserve">cannot justify </w:t>
      </w:r>
      <w:r w:rsidRPr="00751EB0">
        <w:rPr>
          <w:rFonts w:cs="Arial"/>
          <w:spacing w:val="-3"/>
          <w:szCs w:val="22"/>
        </w:rPr>
        <w:t>the significant decrease in the number of accidents and fatalities.</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r w:rsidRPr="00751EB0">
        <w:rPr>
          <w:rFonts w:cs="Arial"/>
          <w:spacing w:val="-3"/>
          <w:szCs w:val="22"/>
        </w:rPr>
        <w:t>There could be a structural downward trend (</w:t>
      </w:r>
      <w:r>
        <w:rPr>
          <w:rFonts w:cs="Arial"/>
          <w:spacing w:val="-3"/>
          <w:szCs w:val="22"/>
        </w:rPr>
        <w:t>brought</w:t>
      </w:r>
      <w:r w:rsidRPr="00751EB0">
        <w:rPr>
          <w:rFonts w:cs="Arial"/>
          <w:spacing w:val="-3"/>
          <w:szCs w:val="22"/>
        </w:rPr>
        <w:t xml:space="preserve"> on by improvements to vehicles and infrastructure and </w:t>
      </w:r>
      <w:r>
        <w:rPr>
          <w:rFonts w:cs="Arial"/>
          <w:spacing w:val="-3"/>
          <w:szCs w:val="22"/>
        </w:rPr>
        <w:t>by a progressive</w:t>
      </w:r>
      <w:r w:rsidRPr="00751EB0">
        <w:rPr>
          <w:rFonts w:cs="Arial"/>
          <w:spacing w:val="-3"/>
          <w:szCs w:val="22"/>
        </w:rPr>
        <w:t xml:space="preserve"> change in road user behaviour) which, from one year to the </w:t>
      </w:r>
      <w:r>
        <w:rPr>
          <w:rFonts w:cs="Arial"/>
          <w:spacing w:val="-3"/>
          <w:szCs w:val="22"/>
        </w:rPr>
        <w:t>other, could be either impaired</w:t>
      </w:r>
      <w:r w:rsidRPr="00751EB0">
        <w:rPr>
          <w:rFonts w:cs="Arial"/>
          <w:spacing w:val="-3"/>
          <w:szCs w:val="22"/>
        </w:rPr>
        <w:t xml:space="preserve"> or strengthened by various specific events, such as the weather. Indeed, the year 2012 is in line</w:t>
      </w:r>
      <w:r>
        <w:rPr>
          <w:rFonts w:cs="Arial"/>
          <w:spacing w:val="-3"/>
          <w:szCs w:val="22"/>
        </w:rPr>
        <w:t xml:space="preserve"> </w:t>
      </w:r>
      <w:r w:rsidRPr="00751EB0">
        <w:rPr>
          <w:rFonts w:cs="Arial"/>
          <w:spacing w:val="-3"/>
          <w:szCs w:val="22"/>
        </w:rPr>
        <w:t>with a trend which, since 2005, has alternately seen a succession of “decrease years” and “stabilisation years” in relation to the number of fatalities.  Moreover, Europe has also recorded a drop in fatalities in 2012 (by -9%)</w:t>
      </w:r>
      <w:r>
        <w:rPr>
          <w:rFonts w:cs="Arial"/>
          <w:spacing w:val="-3"/>
          <w:szCs w:val="22"/>
        </w:rPr>
        <w:t>,</w:t>
      </w:r>
      <w:r w:rsidRPr="00751EB0">
        <w:rPr>
          <w:rFonts w:cs="Arial"/>
          <w:spacing w:val="-3"/>
          <w:szCs w:val="22"/>
        </w:rPr>
        <w:t xml:space="preserve"> which also followed </w:t>
      </w:r>
      <w:r>
        <w:rPr>
          <w:rFonts w:cs="Arial"/>
          <w:spacing w:val="-3"/>
          <w:szCs w:val="22"/>
        </w:rPr>
        <w:t>the</w:t>
      </w:r>
      <w:r w:rsidRPr="00751EB0">
        <w:rPr>
          <w:rFonts w:cs="Arial"/>
          <w:spacing w:val="-3"/>
          <w:szCs w:val="22"/>
        </w:rPr>
        <w:t xml:space="preserve"> year 2011 with mixed results (-2% fatalities</w:t>
      </w:r>
      <w:proofErr w:type="gramStart"/>
      <w:r w:rsidRPr="00751EB0">
        <w:rPr>
          <w:rFonts w:cs="Arial"/>
          <w:spacing w:val="-3"/>
          <w:szCs w:val="22"/>
        </w:rPr>
        <w:t>)</w:t>
      </w:r>
      <w:r w:rsidRPr="00751EB0">
        <w:rPr>
          <w:rFonts w:cs="Arial"/>
          <w:spacing w:val="-3"/>
          <w:szCs w:val="22"/>
          <w:vertAlign w:val="superscript"/>
        </w:rPr>
        <w:t>10</w:t>
      </w:r>
      <w:proofErr w:type="gramEnd"/>
      <w:r w:rsidRPr="00751EB0">
        <w:rPr>
          <w:rFonts w:cs="Arial"/>
          <w:spacing w:val="-3"/>
          <w:szCs w:val="22"/>
        </w:rPr>
        <w:t>.</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Default="004A1D38" w:rsidP="004A1D38">
      <w:pPr>
        <w:spacing w:after="0"/>
        <w:jc w:val="left"/>
        <w:rPr>
          <w:rFonts w:cs="Arial"/>
          <w:b/>
          <w:spacing w:val="-3"/>
          <w:szCs w:val="22"/>
        </w:rPr>
      </w:pPr>
      <w:r>
        <w:rPr>
          <w:rFonts w:cs="Arial"/>
          <w:b/>
          <w:spacing w:val="-3"/>
          <w:szCs w:val="22"/>
        </w:rPr>
        <w:br w:type="page"/>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r w:rsidRPr="00751EB0">
        <w:rPr>
          <w:rFonts w:cs="Arial"/>
          <w:b/>
          <w:spacing w:val="-3"/>
          <w:szCs w:val="22"/>
        </w:rPr>
        <w:lastRenderedPageBreak/>
        <w:t xml:space="preserve">Table 2:  </w:t>
      </w:r>
      <w:r>
        <w:rPr>
          <w:rFonts w:cs="Arial"/>
          <w:b/>
          <w:spacing w:val="-3"/>
          <w:szCs w:val="22"/>
        </w:rPr>
        <w:t>A</w:t>
      </w:r>
      <w:r w:rsidRPr="00751EB0">
        <w:rPr>
          <w:rFonts w:cs="Arial"/>
          <w:b/>
          <w:spacing w:val="-3"/>
          <w:szCs w:val="22"/>
        </w:rPr>
        <w:t xml:space="preserve">nnual total </w:t>
      </w:r>
      <w:r>
        <w:rPr>
          <w:rFonts w:cs="Arial"/>
          <w:b/>
          <w:spacing w:val="-3"/>
          <w:szCs w:val="22"/>
        </w:rPr>
        <w:t>of figures</w:t>
      </w:r>
      <w:r w:rsidRPr="00751EB0">
        <w:rPr>
          <w:rFonts w:cs="Arial"/>
          <w:b/>
          <w:spacing w:val="-3"/>
          <w:szCs w:val="22"/>
        </w:rPr>
        <w:t xml:space="preserve"> for December 2012</w:t>
      </w:r>
      <w:r>
        <w:rPr>
          <w:rFonts w:cs="Arial"/>
          <w:b/>
          <w:spacing w:val="-3"/>
          <w:szCs w:val="22"/>
        </w:rPr>
        <w:t xml:space="preserve"> – National figures</w:t>
      </w:r>
      <w:r w:rsidRPr="00751EB0">
        <w:rPr>
          <w:rFonts w:cs="Arial"/>
          <w:b/>
          <w:spacing w:val="-3"/>
          <w:szCs w:val="22"/>
        </w:rPr>
        <w:t xml:space="preserve"> </w:t>
      </w:r>
      <w:r w:rsidRPr="00751EB0">
        <w:rPr>
          <w:rFonts w:cs="Arial"/>
          <w:spacing w:val="-3"/>
          <w:szCs w:val="22"/>
        </w:rPr>
        <w:t xml:space="preserve">(Number of accidents </w:t>
      </w:r>
      <w:r>
        <w:rPr>
          <w:rFonts w:cs="Arial"/>
          <w:spacing w:val="-3"/>
          <w:szCs w:val="22"/>
        </w:rPr>
        <w:t xml:space="preserve">resulting in </w:t>
      </w:r>
      <w:r w:rsidRPr="00751EB0">
        <w:rPr>
          <w:rFonts w:cs="Arial"/>
          <w:spacing w:val="-3"/>
          <w:szCs w:val="22"/>
        </w:rPr>
        <w:t xml:space="preserve">injuries, Number of </w:t>
      </w:r>
      <w:r>
        <w:rPr>
          <w:rFonts w:cs="Arial"/>
          <w:spacing w:val="-3"/>
          <w:szCs w:val="22"/>
        </w:rPr>
        <w:t xml:space="preserve">accident scene </w:t>
      </w:r>
      <w:r w:rsidRPr="00751EB0">
        <w:rPr>
          <w:rFonts w:cs="Arial"/>
          <w:spacing w:val="-3"/>
          <w:szCs w:val="22"/>
        </w:rPr>
        <w:t>fatalities, Number of casualties, Total accident severity)</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r>
        <w:rPr>
          <w:rFonts w:cs="Arial"/>
          <w:noProof/>
          <w:spacing w:val="-3"/>
          <w:lang w:eastAsia="en-GB"/>
        </w:rPr>
        <w:drawing>
          <wp:anchor distT="0" distB="0" distL="114300" distR="114300" simplePos="0" relativeHeight="251662336" behindDoc="1" locked="0" layoutInCell="1" allowOverlap="1">
            <wp:simplePos x="0" y="0"/>
            <wp:positionH relativeFrom="column">
              <wp:posOffset>-176530</wp:posOffset>
            </wp:positionH>
            <wp:positionV relativeFrom="paragraph">
              <wp:posOffset>10160</wp:posOffset>
            </wp:positionV>
            <wp:extent cx="5753100" cy="3114675"/>
            <wp:effectExtent l="19050" t="0" r="0" b="0"/>
            <wp:wrapNone/>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753100" cy="3114675"/>
                    </a:xfrm>
                    <a:prstGeom prst="rect">
                      <a:avLst/>
                    </a:prstGeom>
                    <a:noFill/>
                    <a:ln w="9525">
                      <a:noFill/>
                      <a:miter lim="800000"/>
                      <a:headEnd/>
                      <a:tailEnd/>
                    </a:ln>
                  </pic:spPr>
                </pic:pic>
              </a:graphicData>
            </a:graphic>
          </wp:anchor>
        </w:drawing>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 w:val="8"/>
          <w:szCs w:val="8"/>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284"/>
          <w:tab w:val="left" w:pos="709"/>
          <w:tab w:val="left" w:pos="851"/>
          <w:tab w:val="left" w:pos="1134"/>
          <w:tab w:val="right" w:pos="6521"/>
          <w:tab w:val="right" w:pos="8505"/>
        </w:tabs>
        <w:ind w:left="284"/>
        <w:rPr>
          <w:rFonts w:cs="Arial"/>
          <w:spacing w:val="-3"/>
          <w:sz w:val="18"/>
          <w:szCs w:val="18"/>
          <w:vertAlign w:val="superscript"/>
        </w:rPr>
      </w:pPr>
    </w:p>
    <w:p w:rsidR="004A1D38" w:rsidRPr="00751EB0" w:rsidRDefault="004A1D38" w:rsidP="004A1D38">
      <w:pPr>
        <w:tabs>
          <w:tab w:val="left" w:pos="-1440"/>
          <w:tab w:val="left" w:pos="-720"/>
          <w:tab w:val="left" w:pos="284"/>
          <w:tab w:val="left" w:pos="709"/>
          <w:tab w:val="left" w:pos="851"/>
          <w:tab w:val="left" w:pos="1134"/>
          <w:tab w:val="right" w:pos="6521"/>
          <w:tab w:val="right" w:pos="8505"/>
        </w:tabs>
        <w:ind w:left="284"/>
        <w:rPr>
          <w:rFonts w:cs="Arial"/>
          <w:spacing w:val="-3"/>
          <w:sz w:val="18"/>
          <w:szCs w:val="18"/>
        </w:rPr>
      </w:pPr>
      <w:r w:rsidRPr="00751EB0">
        <w:rPr>
          <w:rFonts w:cs="Arial"/>
          <w:spacing w:val="-3"/>
          <w:sz w:val="18"/>
          <w:szCs w:val="18"/>
          <w:vertAlign w:val="superscript"/>
        </w:rPr>
        <w:t>8</w:t>
      </w:r>
      <w:r w:rsidRPr="00751EB0">
        <w:rPr>
          <w:rFonts w:cs="Arial"/>
          <w:spacing w:val="-3"/>
          <w:sz w:val="18"/>
          <w:szCs w:val="18"/>
        </w:rPr>
        <w:t xml:space="preserve"> Fatalities at 30 days </w:t>
      </w:r>
      <w:r>
        <w:rPr>
          <w:rFonts w:cs="Arial"/>
          <w:spacing w:val="-3"/>
          <w:sz w:val="18"/>
          <w:szCs w:val="18"/>
        </w:rPr>
        <w:t xml:space="preserve">= </w:t>
      </w:r>
      <w:r w:rsidRPr="00751EB0">
        <w:rPr>
          <w:rFonts w:cs="Arial"/>
          <w:spacing w:val="-3"/>
          <w:sz w:val="18"/>
          <w:szCs w:val="18"/>
        </w:rPr>
        <w:t xml:space="preserve">persons who die </w:t>
      </w:r>
      <w:r>
        <w:rPr>
          <w:rFonts w:cs="Arial"/>
          <w:spacing w:val="-3"/>
          <w:sz w:val="18"/>
          <w:szCs w:val="18"/>
        </w:rPr>
        <w:t xml:space="preserve">as a result of </w:t>
      </w:r>
      <w:r w:rsidRPr="00751EB0">
        <w:rPr>
          <w:rFonts w:cs="Arial"/>
          <w:spacing w:val="-3"/>
          <w:sz w:val="18"/>
          <w:szCs w:val="18"/>
        </w:rPr>
        <w:t>a road accident within 30 days</w:t>
      </w:r>
      <w:r>
        <w:rPr>
          <w:rFonts w:cs="Arial"/>
          <w:spacing w:val="-3"/>
          <w:sz w:val="18"/>
          <w:szCs w:val="18"/>
        </w:rPr>
        <w:t xml:space="preserve">, </w:t>
      </w:r>
      <w:r w:rsidRPr="00751EB0">
        <w:rPr>
          <w:rFonts w:cs="Arial"/>
          <w:spacing w:val="-3"/>
          <w:sz w:val="18"/>
          <w:szCs w:val="18"/>
        </w:rPr>
        <w:t>i.e. the number of</w:t>
      </w:r>
      <w:r>
        <w:rPr>
          <w:rFonts w:cs="Arial"/>
          <w:spacing w:val="-3"/>
          <w:sz w:val="18"/>
          <w:szCs w:val="18"/>
        </w:rPr>
        <w:t xml:space="preserve"> accident scene</w:t>
      </w:r>
      <w:r w:rsidRPr="00751EB0">
        <w:rPr>
          <w:rFonts w:cs="Arial"/>
          <w:spacing w:val="-3"/>
          <w:sz w:val="18"/>
          <w:szCs w:val="18"/>
        </w:rPr>
        <w:t xml:space="preserve"> fatalities plus the number of </w:t>
      </w:r>
      <w:r>
        <w:rPr>
          <w:rFonts w:cs="Arial"/>
          <w:spacing w:val="-3"/>
          <w:sz w:val="18"/>
          <w:szCs w:val="18"/>
        </w:rPr>
        <w:t>fatally</w:t>
      </w:r>
      <w:r w:rsidRPr="00751EB0">
        <w:rPr>
          <w:rFonts w:cs="Arial"/>
          <w:spacing w:val="-3"/>
          <w:sz w:val="18"/>
          <w:szCs w:val="18"/>
        </w:rPr>
        <w:t xml:space="preserve"> injured. A </w:t>
      </w:r>
      <w:r>
        <w:rPr>
          <w:rFonts w:cs="Arial"/>
          <w:spacing w:val="-3"/>
          <w:sz w:val="18"/>
          <w:szCs w:val="18"/>
        </w:rPr>
        <w:t>fatally</w:t>
      </w:r>
      <w:r w:rsidRPr="00751EB0">
        <w:rPr>
          <w:rFonts w:cs="Arial"/>
          <w:spacing w:val="-3"/>
          <w:sz w:val="18"/>
          <w:szCs w:val="18"/>
        </w:rPr>
        <w:t xml:space="preserve"> injured person is a</w:t>
      </w:r>
      <w:r>
        <w:rPr>
          <w:rFonts w:cs="Arial"/>
          <w:spacing w:val="-3"/>
          <w:sz w:val="18"/>
          <w:szCs w:val="18"/>
        </w:rPr>
        <w:t xml:space="preserve"> person</w:t>
      </w:r>
      <w:r w:rsidRPr="00751EB0">
        <w:rPr>
          <w:rFonts w:cs="Arial"/>
          <w:spacing w:val="-3"/>
          <w:sz w:val="18"/>
          <w:szCs w:val="18"/>
        </w:rPr>
        <w:t xml:space="preserve"> who dies within 30 days of a road accident</w:t>
      </w:r>
      <w:r>
        <w:rPr>
          <w:rFonts w:cs="Arial"/>
          <w:spacing w:val="-3"/>
          <w:sz w:val="18"/>
          <w:szCs w:val="18"/>
        </w:rPr>
        <w:t>,</w:t>
      </w:r>
      <w:r w:rsidRPr="00751EB0">
        <w:rPr>
          <w:rFonts w:cs="Arial"/>
          <w:spacing w:val="-3"/>
          <w:sz w:val="18"/>
          <w:szCs w:val="18"/>
        </w:rPr>
        <w:t xml:space="preserve"> but who did not die </w:t>
      </w:r>
      <w:r>
        <w:rPr>
          <w:rFonts w:cs="Arial"/>
          <w:spacing w:val="-3"/>
          <w:sz w:val="18"/>
          <w:szCs w:val="18"/>
        </w:rPr>
        <w:t>at the scene of the accident</w:t>
      </w:r>
      <w:r w:rsidRPr="00751EB0">
        <w:rPr>
          <w:rFonts w:cs="Arial"/>
          <w:spacing w:val="-3"/>
          <w:sz w:val="18"/>
          <w:szCs w:val="18"/>
        </w:rPr>
        <w:t xml:space="preserve"> or before being admitted to hospital. </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ind w:left="567"/>
        <w:rPr>
          <w:rFonts w:cs="Arial"/>
          <w:spacing w:val="-3"/>
          <w:sz w:val="18"/>
          <w:szCs w:val="18"/>
        </w:rPr>
      </w:pPr>
      <w:r w:rsidRPr="00751EB0">
        <w:rPr>
          <w:rFonts w:cs="Arial"/>
          <w:spacing w:val="-3"/>
          <w:sz w:val="18"/>
          <w:szCs w:val="18"/>
        </w:rPr>
        <w:br w:type="page"/>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b/>
          <w:spacing w:val="-3"/>
          <w:szCs w:val="22"/>
        </w:rPr>
      </w:pPr>
      <w:r>
        <w:rPr>
          <w:rFonts w:cs="Arial"/>
          <w:b/>
          <w:spacing w:val="-3"/>
          <w:szCs w:val="22"/>
        </w:rPr>
        <w:lastRenderedPageBreak/>
        <w:t>A</w:t>
      </w:r>
      <w:r w:rsidRPr="00751EB0">
        <w:rPr>
          <w:rFonts w:cs="Arial"/>
          <w:b/>
          <w:spacing w:val="-3"/>
          <w:szCs w:val="22"/>
        </w:rPr>
        <w:t xml:space="preserve">nnual totals </w:t>
      </w:r>
      <w:r>
        <w:rPr>
          <w:rFonts w:cs="Arial"/>
          <w:b/>
          <w:spacing w:val="-3"/>
          <w:szCs w:val="22"/>
        </w:rPr>
        <w:t>of</w:t>
      </w:r>
      <w:r w:rsidRPr="00751EB0">
        <w:rPr>
          <w:rFonts w:cs="Arial"/>
          <w:b/>
          <w:spacing w:val="-3"/>
          <w:szCs w:val="22"/>
        </w:rPr>
        <w:t xml:space="preserve"> </w:t>
      </w:r>
      <w:r>
        <w:rPr>
          <w:rFonts w:cs="Arial"/>
          <w:b/>
          <w:spacing w:val="-3"/>
          <w:szCs w:val="22"/>
        </w:rPr>
        <w:t>accident scene</w:t>
      </w:r>
      <w:r w:rsidRPr="00751EB0">
        <w:rPr>
          <w:rFonts w:cs="Arial"/>
          <w:b/>
          <w:spacing w:val="-3"/>
          <w:szCs w:val="22"/>
        </w:rPr>
        <w:t xml:space="preserve"> fatalities (Graph 7) and accidents </w:t>
      </w:r>
      <w:r>
        <w:rPr>
          <w:rFonts w:cs="Arial"/>
          <w:b/>
          <w:spacing w:val="-3"/>
          <w:szCs w:val="22"/>
        </w:rPr>
        <w:t>resulting in</w:t>
      </w:r>
      <w:r w:rsidRPr="00751EB0">
        <w:rPr>
          <w:rFonts w:cs="Arial"/>
          <w:b/>
          <w:spacing w:val="-3"/>
          <w:szCs w:val="22"/>
        </w:rPr>
        <w:t xml:space="preserve"> injuries (Graph 8) recorded in Belgium</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r>
        <w:rPr>
          <w:noProof/>
          <w:lang w:eastAsia="en-GB"/>
        </w:rPr>
        <w:drawing>
          <wp:anchor distT="0" distB="0" distL="114300" distR="114300" simplePos="0" relativeHeight="251660288" behindDoc="0" locked="0" layoutInCell="1" allowOverlap="1">
            <wp:simplePos x="0" y="0"/>
            <wp:positionH relativeFrom="column">
              <wp:posOffset>203835</wp:posOffset>
            </wp:positionH>
            <wp:positionV relativeFrom="paragraph">
              <wp:posOffset>46990</wp:posOffset>
            </wp:positionV>
            <wp:extent cx="5753100" cy="5476875"/>
            <wp:effectExtent l="19050" t="0" r="0" b="0"/>
            <wp:wrapNone/>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753100" cy="5476875"/>
                    </a:xfrm>
                    <a:prstGeom prst="rect">
                      <a:avLst/>
                    </a:prstGeom>
                    <a:noFill/>
                    <a:ln w="9525">
                      <a:noFill/>
                      <a:miter lim="800000"/>
                      <a:headEnd/>
                      <a:tailEnd/>
                    </a:ln>
                  </pic:spPr>
                </pic:pic>
              </a:graphicData>
            </a:graphic>
          </wp:anchor>
        </w:drawing>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Default="004A1D38" w:rsidP="004A1D38">
      <w:pPr>
        <w:tabs>
          <w:tab w:val="left" w:pos="-1440"/>
          <w:tab w:val="left" w:pos="-720"/>
          <w:tab w:val="left" w:pos="567"/>
          <w:tab w:val="left" w:pos="709"/>
          <w:tab w:val="left" w:pos="851"/>
          <w:tab w:val="left" w:pos="1134"/>
          <w:tab w:val="right" w:pos="6521"/>
          <w:tab w:val="right" w:pos="8505"/>
        </w:tabs>
        <w:rPr>
          <w:rFonts w:cs="Arial"/>
          <w:b/>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b/>
          <w:spacing w:val="-3"/>
          <w:szCs w:val="22"/>
        </w:rPr>
      </w:pPr>
      <w:r w:rsidRPr="00751EB0">
        <w:rPr>
          <w:rFonts w:cs="Arial"/>
          <w:b/>
          <w:spacing w:val="-3"/>
          <w:szCs w:val="22"/>
        </w:rPr>
        <w:t xml:space="preserve">Graph 9:  </w:t>
      </w:r>
      <w:r>
        <w:rPr>
          <w:rFonts w:cs="Arial"/>
          <w:b/>
          <w:spacing w:val="-3"/>
          <w:szCs w:val="22"/>
        </w:rPr>
        <w:t>T</w:t>
      </w:r>
      <w:r w:rsidRPr="00751EB0">
        <w:rPr>
          <w:rFonts w:cs="Arial"/>
          <w:b/>
          <w:spacing w:val="-3"/>
          <w:szCs w:val="22"/>
        </w:rPr>
        <w:t xml:space="preserve">otal severity of accidents </w:t>
      </w:r>
      <w:r>
        <w:rPr>
          <w:rFonts w:cs="Arial"/>
          <w:b/>
          <w:spacing w:val="-3"/>
          <w:szCs w:val="22"/>
        </w:rPr>
        <w:t xml:space="preserve">resulting in </w:t>
      </w:r>
      <w:r w:rsidRPr="00751EB0">
        <w:rPr>
          <w:rFonts w:cs="Arial"/>
          <w:b/>
          <w:spacing w:val="-3"/>
          <w:szCs w:val="22"/>
        </w:rPr>
        <w:t>injuries recorded in Belgium</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r>
        <w:rPr>
          <w:noProof/>
          <w:lang w:eastAsia="en-GB"/>
        </w:rPr>
        <w:drawing>
          <wp:anchor distT="0" distB="0" distL="114300" distR="114300" simplePos="0" relativeHeight="251661312" behindDoc="0" locked="0" layoutInCell="1" allowOverlap="1">
            <wp:simplePos x="0" y="0"/>
            <wp:positionH relativeFrom="column">
              <wp:posOffset>232410</wp:posOffset>
            </wp:positionH>
            <wp:positionV relativeFrom="paragraph">
              <wp:posOffset>42545</wp:posOffset>
            </wp:positionV>
            <wp:extent cx="5753100" cy="2867025"/>
            <wp:effectExtent l="19050" t="0" r="0" b="0"/>
            <wp:wrapNone/>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753100" cy="2867025"/>
                    </a:xfrm>
                    <a:prstGeom prst="rect">
                      <a:avLst/>
                    </a:prstGeom>
                    <a:noFill/>
                    <a:ln w="9525">
                      <a:noFill/>
                      <a:miter lim="800000"/>
                      <a:headEnd/>
                      <a:tailEnd/>
                    </a:ln>
                  </pic:spPr>
                </pic:pic>
              </a:graphicData>
            </a:graphic>
          </wp:anchor>
        </w:drawing>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b/>
          <w:spacing w:val="-3"/>
          <w:szCs w:val="22"/>
        </w:rPr>
      </w:pPr>
      <w:r w:rsidRPr="00751EB0">
        <w:rPr>
          <w:rFonts w:cs="Arial"/>
          <w:b/>
          <w:spacing w:val="-3"/>
          <w:szCs w:val="22"/>
        </w:rPr>
        <w:lastRenderedPageBreak/>
        <w:t xml:space="preserve">2. Trend for accidents involving heavy </w:t>
      </w:r>
      <w:r>
        <w:rPr>
          <w:rFonts w:cs="Arial"/>
          <w:b/>
          <w:spacing w:val="-3"/>
          <w:szCs w:val="22"/>
        </w:rPr>
        <w:t xml:space="preserve">goods </w:t>
      </w:r>
      <w:r w:rsidRPr="00751EB0">
        <w:rPr>
          <w:rFonts w:cs="Arial"/>
          <w:b/>
          <w:spacing w:val="-3"/>
          <w:szCs w:val="22"/>
        </w:rPr>
        <w:t>vehicles</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r w:rsidRPr="00751EB0">
        <w:rPr>
          <w:rFonts w:cs="Arial"/>
          <w:spacing w:val="-3"/>
          <w:szCs w:val="22"/>
        </w:rPr>
        <w:t xml:space="preserve">For about a year, the number of accidents involving at least one heavy </w:t>
      </w:r>
      <w:r>
        <w:rPr>
          <w:rFonts w:cs="Arial"/>
          <w:spacing w:val="-3"/>
          <w:szCs w:val="22"/>
        </w:rPr>
        <w:t xml:space="preserve">goods </w:t>
      </w:r>
      <w:r w:rsidRPr="00751EB0">
        <w:rPr>
          <w:rFonts w:cs="Arial"/>
          <w:spacing w:val="-3"/>
          <w:szCs w:val="22"/>
        </w:rPr>
        <w:t xml:space="preserve">vehicle has </w:t>
      </w:r>
      <w:r>
        <w:rPr>
          <w:rFonts w:cs="Arial"/>
          <w:spacing w:val="-3"/>
          <w:szCs w:val="22"/>
        </w:rPr>
        <w:t>shown</w:t>
      </w:r>
      <w:r w:rsidRPr="00751EB0">
        <w:rPr>
          <w:rFonts w:cs="Arial"/>
          <w:spacing w:val="-3"/>
          <w:szCs w:val="22"/>
        </w:rPr>
        <w:t xml:space="preserve"> a downward trend resulting in a decrease of 90 units (-4.0%) compared to the annual total in December 2011.</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r>
        <w:rPr>
          <w:rFonts w:cs="Arial"/>
          <w:spacing w:val="-3"/>
          <w:szCs w:val="22"/>
        </w:rPr>
        <w:t xml:space="preserve">After having significantly </w:t>
      </w:r>
      <w:r w:rsidRPr="00751EB0">
        <w:rPr>
          <w:rFonts w:cs="Arial"/>
          <w:spacing w:val="-3"/>
          <w:szCs w:val="22"/>
        </w:rPr>
        <w:t>decrease</w:t>
      </w:r>
      <w:r>
        <w:rPr>
          <w:rFonts w:cs="Arial"/>
          <w:spacing w:val="-3"/>
          <w:szCs w:val="22"/>
        </w:rPr>
        <w:t>d</w:t>
      </w:r>
      <w:r w:rsidRPr="00751EB0">
        <w:rPr>
          <w:rFonts w:cs="Arial"/>
          <w:spacing w:val="-3"/>
          <w:szCs w:val="22"/>
        </w:rPr>
        <w:t xml:space="preserve"> between the annual total </w:t>
      </w:r>
      <w:r>
        <w:rPr>
          <w:rFonts w:cs="Arial"/>
          <w:spacing w:val="-3"/>
          <w:szCs w:val="22"/>
        </w:rPr>
        <w:t>of</w:t>
      </w:r>
      <w:r w:rsidRPr="00751EB0">
        <w:rPr>
          <w:rFonts w:cs="Arial"/>
          <w:spacing w:val="-3"/>
          <w:szCs w:val="22"/>
        </w:rPr>
        <w:t xml:space="preserve"> June 2011</w:t>
      </w:r>
      <w:r>
        <w:rPr>
          <w:rFonts w:cs="Arial"/>
          <w:spacing w:val="-3"/>
          <w:szCs w:val="22"/>
        </w:rPr>
        <w:t xml:space="preserve"> and that of</w:t>
      </w:r>
      <w:r w:rsidRPr="00751EB0">
        <w:rPr>
          <w:rFonts w:cs="Arial"/>
          <w:spacing w:val="-3"/>
          <w:szCs w:val="22"/>
        </w:rPr>
        <w:t xml:space="preserve"> </w:t>
      </w:r>
      <w:r>
        <w:rPr>
          <w:rFonts w:cs="Arial"/>
          <w:spacing w:val="-3"/>
          <w:szCs w:val="22"/>
        </w:rPr>
        <w:t>May 2012,</w:t>
      </w:r>
      <w:r w:rsidRPr="00751EB0">
        <w:rPr>
          <w:rFonts w:cs="Arial"/>
          <w:spacing w:val="-3"/>
          <w:szCs w:val="22"/>
        </w:rPr>
        <w:t xml:space="preserve"> the number of fatalities </w:t>
      </w:r>
      <w:r>
        <w:rPr>
          <w:rFonts w:cs="Arial"/>
          <w:spacing w:val="-3"/>
          <w:szCs w:val="22"/>
        </w:rPr>
        <w:t>caused by</w:t>
      </w:r>
      <w:r w:rsidRPr="00751EB0">
        <w:rPr>
          <w:rFonts w:cs="Arial"/>
          <w:spacing w:val="-3"/>
          <w:szCs w:val="22"/>
        </w:rPr>
        <w:t xml:space="preserve"> accidents involving heavy </w:t>
      </w:r>
      <w:r>
        <w:rPr>
          <w:rFonts w:cs="Arial"/>
          <w:spacing w:val="-3"/>
          <w:szCs w:val="22"/>
        </w:rPr>
        <w:t xml:space="preserve">goods </w:t>
      </w:r>
      <w:r w:rsidRPr="00751EB0">
        <w:rPr>
          <w:rFonts w:cs="Arial"/>
          <w:spacing w:val="-3"/>
          <w:szCs w:val="22"/>
        </w:rPr>
        <w:t xml:space="preserve">vehicles (whether or not they were </w:t>
      </w:r>
      <w:r>
        <w:rPr>
          <w:rFonts w:cs="Arial"/>
          <w:spacing w:val="-3"/>
          <w:szCs w:val="22"/>
        </w:rPr>
        <w:t>inside</w:t>
      </w:r>
      <w:r w:rsidRPr="00751EB0">
        <w:rPr>
          <w:rFonts w:cs="Arial"/>
          <w:spacing w:val="-3"/>
          <w:szCs w:val="22"/>
        </w:rPr>
        <w:t xml:space="preserve"> the truck) has risen again. Although this is not reflected in the comparison with the annual total in December 2011, the increase was close to 20 fatalities compared to the annual total in May 2012.</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r w:rsidRPr="00751EB0">
        <w:rPr>
          <w:rFonts w:cs="Arial"/>
          <w:spacing w:val="-3"/>
          <w:szCs w:val="22"/>
        </w:rPr>
        <w:t>Accident severity has therefore</w:t>
      </w:r>
      <w:r>
        <w:rPr>
          <w:rFonts w:cs="Arial"/>
          <w:spacing w:val="-3"/>
          <w:szCs w:val="22"/>
        </w:rPr>
        <w:t xml:space="preserve"> also</w:t>
      </w:r>
      <w:r w:rsidRPr="00751EB0">
        <w:rPr>
          <w:rFonts w:cs="Arial"/>
          <w:spacing w:val="-3"/>
          <w:szCs w:val="22"/>
        </w:rPr>
        <w:t xml:space="preserve"> risen, from 34.7 fatalities per 1</w:t>
      </w:r>
      <w:r>
        <w:rPr>
          <w:rFonts w:cs="Arial"/>
          <w:spacing w:val="-3"/>
          <w:szCs w:val="22"/>
        </w:rPr>
        <w:t>,</w:t>
      </w:r>
      <w:r w:rsidRPr="00751EB0">
        <w:rPr>
          <w:rFonts w:cs="Arial"/>
          <w:spacing w:val="-3"/>
          <w:szCs w:val="22"/>
        </w:rPr>
        <w:t>000 accidents as the annual total in May 2012 to a total of 47.2 in December 2012.</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r w:rsidRPr="00751EB0">
        <w:rPr>
          <w:rFonts w:cs="Arial"/>
          <w:spacing w:val="-3"/>
          <w:szCs w:val="22"/>
        </w:rPr>
        <w:t>Over two thirds of the total decrease in the number of accidents involving a heavy</w:t>
      </w:r>
      <w:r>
        <w:rPr>
          <w:rFonts w:cs="Arial"/>
          <w:spacing w:val="-3"/>
          <w:szCs w:val="22"/>
        </w:rPr>
        <w:t xml:space="preserve"> goods</w:t>
      </w:r>
      <w:r w:rsidRPr="00751EB0">
        <w:rPr>
          <w:rFonts w:cs="Arial"/>
          <w:spacing w:val="-3"/>
          <w:szCs w:val="22"/>
        </w:rPr>
        <w:t xml:space="preserve"> vehicle occurred in the French-speaking part</w:t>
      </w:r>
      <w:r>
        <w:rPr>
          <w:rFonts w:cs="Arial"/>
          <w:spacing w:val="-3"/>
          <w:szCs w:val="22"/>
        </w:rPr>
        <w:t xml:space="preserve"> of Belgium</w:t>
      </w:r>
      <w:r w:rsidRPr="00751EB0">
        <w:rPr>
          <w:rFonts w:cs="Arial"/>
          <w:spacing w:val="-3"/>
          <w:szCs w:val="22"/>
        </w:rPr>
        <w:t>, with a drop of 64 accidents out of a total</w:t>
      </w:r>
      <w:r>
        <w:rPr>
          <w:rFonts w:cs="Arial"/>
          <w:spacing w:val="-3"/>
          <w:szCs w:val="22"/>
        </w:rPr>
        <w:t xml:space="preserve"> of</w:t>
      </w:r>
      <w:r w:rsidRPr="00751EB0">
        <w:rPr>
          <w:rFonts w:cs="Arial"/>
          <w:spacing w:val="-3"/>
          <w:szCs w:val="22"/>
        </w:rPr>
        <w:t xml:space="preserve"> 90. The other third occurred in Flanders. In terms of fatalities as a result of these accidents, the figures are relatively stable across all 3 regions, although the drop in Flanders is 9 units </w:t>
      </w:r>
      <w:r>
        <w:rPr>
          <w:rFonts w:cs="Arial"/>
          <w:spacing w:val="-3"/>
          <w:szCs w:val="22"/>
        </w:rPr>
        <w:t>compared</w:t>
      </w:r>
      <w:r w:rsidRPr="00751EB0">
        <w:rPr>
          <w:rFonts w:cs="Arial"/>
          <w:spacing w:val="-3"/>
          <w:szCs w:val="22"/>
        </w:rPr>
        <w:t xml:space="preserve"> to last year.</w:t>
      </w:r>
    </w:p>
    <w:p w:rsidR="004A1D38" w:rsidRDefault="004A1D38" w:rsidP="004A1D38">
      <w:pPr>
        <w:tabs>
          <w:tab w:val="left" w:pos="-1440"/>
          <w:tab w:val="left" w:pos="-720"/>
          <w:tab w:val="left" w:pos="567"/>
          <w:tab w:val="left" w:pos="709"/>
          <w:tab w:val="left" w:pos="851"/>
          <w:tab w:val="left" w:pos="1134"/>
          <w:tab w:val="right" w:pos="6521"/>
          <w:tab w:val="right" w:pos="8505"/>
        </w:tabs>
        <w:rPr>
          <w:rFonts w:cs="Arial"/>
          <w:b/>
          <w:spacing w:val="-3"/>
          <w:szCs w:val="22"/>
        </w:rPr>
      </w:pPr>
      <w:r w:rsidRPr="00751EB0">
        <w:rPr>
          <w:rFonts w:cs="Arial"/>
          <w:b/>
          <w:spacing w:val="-3"/>
          <w:szCs w:val="22"/>
        </w:rPr>
        <w:t>Table 1</w:t>
      </w:r>
      <w:r>
        <w:rPr>
          <w:rFonts w:cs="Arial"/>
          <w:b/>
          <w:spacing w:val="-3"/>
          <w:szCs w:val="22"/>
        </w:rPr>
        <w:t>3</w:t>
      </w:r>
      <w:r w:rsidRPr="00751EB0">
        <w:rPr>
          <w:rFonts w:cs="Arial"/>
          <w:b/>
          <w:spacing w:val="-3"/>
          <w:szCs w:val="22"/>
        </w:rPr>
        <w:t xml:space="preserve">:  </w:t>
      </w:r>
      <w:r>
        <w:rPr>
          <w:rFonts w:cs="Arial"/>
          <w:b/>
          <w:spacing w:val="-3"/>
          <w:szCs w:val="22"/>
        </w:rPr>
        <w:t>A</w:t>
      </w:r>
      <w:r w:rsidRPr="00751EB0">
        <w:rPr>
          <w:rFonts w:cs="Arial"/>
          <w:b/>
          <w:spacing w:val="-3"/>
          <w:szCs w:val="22"/>
        </w:rPr>
        <w:t xml:space="preserve">nnual total </w:t>
      </w:r>
      <w:r>
        <w:rPr>
          <w:rFonts w:cs="Arial"/>
          <w:b/>
          <w:spacing w:val="-3"/>
          <w:szCs w:val="22"/>
        </w:rPr>
        <w:t xml:space="preserve">of </w:t>
      </w:r>
      <w:r w:rsidRPr="00751EB0">
        <w:rPr>
          <w:rFonts w:cs="Arial"/>
          <w:b/>
          <w:spacing w:val="-3"/>
          <w:szCs w:val="22"/>
        </w:rPr>
        <w:t xml:space="preserve">accidents involving at least one </w:t>
      </w:r>
      <w:r>
        <w:rPr>
          <w:rFonts w:cs="Arial"/>
          <w:b/>
          <w:spacing w:val="-3"/>
          <w:szCs w:val="22"/>
        </w:rPr>
        <w:t>heavy goods vehicle</w:t>
      </w:r>
      <w:r w:rsidRPr="00751EB0">
        <w:rPr>
          <w:rFonts w:cs="Arial"/>
          <w:b/>
          <w:spacing w:val="-3"/>
          <w:szCs w:val="22"/>
        </w:rPr>
        <w:t>, for December 2012</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r>
        <w:rPr>
          <w:noProof/>
          <w:lang w:eastAsia="en-GB"/>
        </w:rPr>
        <w:drawing>
          <wp:anchor distT="0" distB="0" distL="114300" distR="114300" simplePos="0" relativeHeight="251664384" behindDoc="0" locked="0" layoutInCell="1" allowOverlap="1">
            <wp:simplePos x="0" y="0"/>
            <wp:positionH relativeFrom="column">
              <wp:posOffset>-197485</wp:posOffset>
            </wp:positionH>
            <wp:positionV relativeFrom="paragraph">
              <wp:posOffset>-12065</wp:posOffset>
            </wp:positionV>
            <wp:extent cx="5762625" cy="4972050"/>
            <wp:effectExtent l="19050" t="0" r="9525" b="0"/>
            <wp:wrapNone/>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762625" cy="4972050"/>
                    </a:xfrm>
                    <a:prstGeom prst="rect">
                      <a:avLst/>
                    </a:prstGeom>
                    <a:noFill/>
                    <a:ln w="9525">
                      <a:noFill/>
                      <a:miter lim="800000"/>
                      <a:headEnd/>
                      <a:tailEnd/>
                    </a:ln>
                  </pic:spPr>
                </pic:pic>
              </a:graphicData>
            </a:graphic>
          </wp:anchor>
        </w:drawing>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r>
        <w:rPr>
          <w:noProof/>
          <w:lang w:eastAsia="en-GB"/>
        </w:rPr>
        <w:drawing>
          <wp:anchor distT="0" distB="0" distL="114300" distR="114300" simplePos="0" relativeHeight="251663360" behindDoc="1" locked="0" layoutInCell="1" allowOverlap="1">
            <wp:simplePos x="0" y="0"/>
            <wp:positionH relativeFrom="column">
              <wp:posOffset>165735</wp:posOffset>
            </wp:positionH>
            <wp:positionV relativeFrom="paragraph">
              <wp:posOffset>53340</wp:posOffset>
            </wp:positionV>
            <wp:extent cx="5753100" cy="3819525"/>
            <wp:effectExtent l="19050" t="0" r="0" b="0"/>
            <wp:wrapNone/>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5753100" cy="3819525"/>
                    </a:xfrm>
                    <a:prstGeom prst="rect">
                      <a:avLst/>
                    </a:prstGeom>
                    <a:noFill/>
                    <a:ln w="9525">
                      <a:noFill/>
                      <a:miter lim="800000"/>
                      <a:headEnd/>
                      <a:tailEnd/>
                    </a:ln>
                  </pic:spPr>
                </pic:pic>
              </a:graphicData>
            </a:graphic>
          </wp:anchor>
        </w:drawing>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b/>
          <w:spacing w:val="-3"/>
          <w:szCs w:val="22"/>
        </w:rPr>
      </w:pPr>
      <w:r>
        <w:rPr>
          <w:rFonts w:cs="Arial"/>
          <w:b/>
          <w:spacing w:val="-3"/>
          <w:szCs w:val="22"/>
        </w:rPr>
        <w:t>A</w:t>
      </w:r>
      <w:r w:rsidRPr="00751EB0">
        <w:rPr>
          <w:rFonts w:cs="Arial"/>
          <w:b/>
          <w:spacing w:val="-3"/>
          <w:szCs w:val="22"/>
        </w:rPr>
        <w:t xml:space="preserve">nnual total </w:t>
      </w:r>
      <w:r>
        <w:rPr>
          <w:rFonts w:cs="Arial"/>
          <w:b/>
          <w:spacing w:val="-3"/>
          <w:szCs w:val="22"/>
        </w:rPr>
        <w:t>of accident scene</w:t>
      </w:r>
      <w:r w:rsidRPr="00751EB0">
        <w:rPr>
          <w:rFonts w:cs="Arial"/>
          <w:b/>
          <w:spacing w:val="-3"/>
          <w:szCs w:val="22"/>
        </w:rPr>
        <w:t xml:space="preserve"> fatalities (Graph 36) and accidents </w:t>
      </w:r>
      <w:r>
        <w:rPr>
          <w:rFonts w:cs="Arial"/>
          <w:b/>
          <w:spacing w:val="-3"/>
          <w:szCs w:val="22"/>
        </w:rPr>
        <w:t xml:space="preserve">resulting in injuries </w:t>
      </w:r>
      <w:r w:rsidRPr="00751EB0">
        <w:rPr>
          <w:rFonts w:cs="Arial"/>
          <w:b/>
          <w:spacing w:val="-3"/>
          <w:szCs w:val="22"/>
        </w:rPr>
        <w:t xml:space="preserve">(Graph 37) involving at least one heavy </w:t>
      </w:r>
      <w:r>
        <w:rPr>
          <w:rFonts w:cs="Arial"/>
          <w:b/>
          <w:spacing w:val="-3"/>
          <w:szCs w:val="22"/>
        </w:rPr>
        <w:t xml:space="preserve">goods </w:t>
      </w:r>
      <w:r w:rsidRPr="00751EB0">
        <w:rPr>
          <w:rFonts w:cs="Arial"/>
          <w:b/>
          <w:spacing w:val="-3"/>
          <w:szCs w:val="22"/>
        </w:rPr>
        <w:t>vehicle</w:t>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r>
        <w:rPr>
          <w:noProof/>
          <w:lang w:eastAsia="en-GB"/>
        </w:rPr>
        <w:drawing>
          <wp:anchor distT="0" distB="0" distL="114300" distR="114300" simplePos="0" relativeHeight="251665408" behindDoc="0" locked="0" layoutInCell="1" allowOverlap="1">
            <wp:simplePos x="0" y="0"/>
            <wp:positionH relativeFrom="column">
              <wp:posOffset>127635</wp:posOffset>
            </wp:positionH>
            <wp:positionV relativeFrom="paragraph">
              <wp:posOffset>-635</wp:posOffset>
            </wp:positionV>
            <wp:extent cx="5753100" cy="3819525"/>
            <wp:effectExtent l="19050" t="0" r="0" b="0"/>
            <wp:wrapNone/>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753100" cy="3819525"/>
                    </a:xfrm>
                    <a:prstGeom prst="rect">
                      <a:avLst/>
                    </a:prstGeom>
                    <a:noFill/>
                    <a:ln w="9525">
                      <a:noFill/>
                      <a:miter lim="800000"/>
                      <a:headEnd/>
                      <a:tailEnd/>
                    </a:ln>
                  </pic:spPr>
                </pic:pic>
              </a:graphicData>
            </a:graphic>
          </wp:anchor>
        </w:drawing>
      </w: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p>
    <w:p w:rsidR="004A1D38" w:rsidRPr="00751EB0"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rPr>
      </w:pPr>
      <w:r>
        <w:rPr>
          <w:rFonts w:cs="Arial"/>
          <w:noProof/>
          <w:spacing w:val="-3"/>
          <w:szCs w:val="22"/>
          <w:lang w:eastAsia="en-GB"/>
        </w:rPr>
        <w:drawing>
          <wp:inline distT="0" distB="0" distL="0" distR="0">
            <wp:extent cx="5756910" cy="2862580"/>
            <wp:effectExtent l="1905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756910" cy="2862580"/>
                    </a:xfrm>
                    <a:prstGeom prst="rect">
                      <a:avLst/>
                    </a:prstGeom>
                    <a:noFill/>
                    <a:ln w="9525">
                      <a:noFill/>
                      <a:miter lim="800000"/>
                      <a:headEnd/>
                      <a:tailEnd/>
                    </a:ln>
                  </pic:spPr>
                </pic:pic>
              </a:graphicData>
            </a:graphic>
          </wp:inline>
        </w:drawing>
      </w:r>
    </w:p>
    <w:p w:rsidR="004A1D38" w:rsidRPr="00A242F8" w:rsidRDefault="004A1D38" w:rsidP="004A1D38">
      <w:pPr>
        <w:tabs>
          <w:tab w:val="left" w:pos="-1440"/>
          <w:tab w:val="left" w:pos="-720"/>
          <w:tab w:val="left" w:pos="567"/>
          <w:tab w:val="left" w:pos="709"/>
          <w:tab w:val="left" w:pos="851"/>
          <w:tab w:val="left" w:pos="1134"/>
          <w:tab w:val="right" w:pos="6521"/>
          <w:tab w:val="right" w:pos="8505"/>
        </w:tabs>
        <w:rPr>
          <w:rFonts w:cs="Arial"/>
          <w:spacing w:val="-3"/>
          <w:szCs w:val="22"/>
          <w:lang w:val="fr-CH"/>
        </w:rPr>
      </w:pPr>
      <w:r w:rsidRPr="00A242F8">
        <w:rPr>
          <w:rFonts w:cs="Arial"/>
          <w:spacing w:val="-3"/>
          <w:szCs w:val="22"/>
          <w:lang w:val="fr-CH"/>
        </w:rPr>
        <w:t xml:space="preserve">Source: “Baromètre de la sécurité routière” brochure by the </w:t>
      </w:r>
      <w:proofErr w:type="spellStart"/>
      <w:r w:rsidRPr="00A242F8">
        <w:rPr>
          <w:rFonts w:cs="Arial"/>
          <w:spacing w:val="-3"/>
          <w:szCs w:val="22"/>
          <w:lang w:val="fr-CH"/>
        </w:rPr>
        <w:t>Belgian</w:t>
      </w:r>
      <w:proofErr w:type="spellEnd"/>
      <w:r w:rsidRPr="00A242F8">
        <w:rPr>
          <w:rFonts w:cs="Arial"/>
          <w:spacing w:val="-3"/>
          <w:szCs w:val="22"/>
          <w:lang w:val="fr-CH"/>
        </w:rPr>
        <w:t xml:space="preserve"> Road </w:t>
      </w:r>
      <w:proofErr w:type="spellStart"/>
      <w:r w:rsidRPr="00A242F8">
        <w:rPr>
          <w:rFonts w:cs="Arial"/>
          <w:spacing w:val="-3"/>
          <w:szCs w:val="22"/>
          <w:lang w:val="fr-CH"/>
        </w:rPr>
        <w:t>Safety</w:t>
      </w:r>
      <w:proofErr w:type="spellEnd"/>
      <w:r w:rsidRPr="00A242F8">
        <w:rPr>
          <w:rFonts w:cs="Arial"/>
          <w:spacing w:val="-3"/>
          <w:szCs w:val="22"/>
          <w:lang w:val="fr-CH"/>
        </w:rPr>
        <w:t xml:space="preserve"> Institute (Institut Belge pour la Sécurité Routière)</w:t>
      </w:r>
    </w:p>
    <w:p w:rsidR="004A1D38" w:rsidRPr="00A242F8" w:rsidRDefault="004A1D38" w:rsidP="004A1D38">
      <w:pPr>
        <w:rPr>
          <w:rFonts w:cs="Arial"/>
          <w:szCs w:val="22"/>
          <w:lang w:val="fr-CH" w:eastAsia="ru-RU"/>
        </w:rPr>
      </w:pPr>
    </w:p>
    <w:p w:rsidR="008E28F4" w:rsidRDefault="004A1D38" w:rsidP="004A1D38">
      <w:pPr>
        <w:jc w:val="center"/>
      </w:pPr>
      <w:r>
        <w:rPr>
          <w:rFonts w:cs="Arial"/>
          <w:szCs w:val="22"/>
          <w:lang w:val="en-US" w:eastAsia="ru-RU"/>
        </w:rPr>
        <w:t>* * * * *</w:t>
      </w:r>
    </w:p>
    <w:sectPr w:rsidR="008E28F4" w:rsidSect="008E28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1D38"/>
    <w:rsid w:val="004A1D38"/>
    <w:rsid w:val="004B5CD9"/>
    <w:rsid w:val="008E28F4"/>
    <w:rsid w:val="00A17F84"/>
    <w:rsid w:val="00C3489D"/>
    <w:rsid w:val="00C6326A"/>
    <w:rsid w:val="00D45A1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D38"/>
    <w:pPr>
      <w:spacing w:after="120" w:line="240" w:lineRule="auto"/>
      <w:jc w:val="both"/>
    </w:pPr>
    <w:rPr>
      <w:rFonts w:ascii="Arial"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947</Words>
  <Characters>5400</Characters>
  <Application>Microsoft Office Word</Application>
  <DocSecurity>0</DocSecurity>
  <Lines>45</Lines>
  <Paragraphs>12</Paragraphs>
  <ScaleCrop>false</ScaleCrop>
  <Company/>
  <LinksUpToDate>false</LinksUpToDate>
  <CharactersWithSpaces>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Jwaring</dc:creator>
  <cp:lastModifiedBy>Jwaring</cp:lastModifiedBy>
  <cp:revision>1</cp:revision>
  <dcterms:created xsi:type="dcterms:W3CDTF">2014-01-15T08:49:00Z</dcterms:created>
  <dcterms:modified xsi:type="dcterms:W3CDTF">2014-01-15T08:51:00Z</dcterms:modified>
</cp:coreProperties>
</file>