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E4" w:rsidRPr="004D01E4" w:rsidRDefault="004D01E4" w:rsidP="004D01E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4D01E4" w:rsidRPr="004D01E4" w:rsidRDefault="004D01E4" w:rsidP="004D01E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36"/>
          <w:szCs w:val="36"/>
          <w:lang w:val="ru-RU"/>
        </w:rPr>
      </w:pPr>
      <w:r w:rsidRPr="004D01E4">
        <w:rPr>
          <w:rFonts w:ascii="Arial" w:hAnsi="Arial" w:cs="Arial"/>
          <w:b/>
          <w:sz w:val="36"/>
          <w:szCs w:val="36"/>
          <w:lang w:val="ru-RU"/>
        </w:rPr>
        <w:t>Конвенции и соглашения ООН в области транспорта как инструмент расширения транзитного потенциала</w:t>
      </w: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D01E4"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Выступление на </w:t>
      </w:r>
      <w:r w:rsidRPr="004D01E4">
        <w:rPr>
          <w:rFonts w:ascii="Arial" w:hAnsi="Arial" w:cs="Arial"/>
          <w:b/>
          <w:sz w:val="22"/>
          <w:szCs w:val="22"/>
          <w:lang w:val="en-US"/>
        </w:rPr>
        <w:t>VII</w:t>
      </w:r>
      <w:r w:rsidRPr="004D01E4">
        <w:rPr>
          <w:rFonts w:ascii="Arial" w:hAnsi="Arial" w:cs="Arial"/>
          <w:b/>
          <w:sz w:val="22"/>
          <w:szCs w:val="22"/>
          <w:lang w:val="ru-RU"/>
        </w:rPr>
        <w:t xml:space="preserve"> Международном форуме «Транспортно-транзитный потенциал»</w:t>
      </w:r>
    </w:p>
    <w:p w:rsidR="004D01E4" w:rsidRDefault="004D01E4" w:rsidP="004D01E4">
      <w:pPr>
        <w:spacing w:after="12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Санкт-Петербург, </w:t>
      </w: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9 сентября 2014</w:t>
      </w: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outlineLvl w:val="0"/>
        <w:rPr>
          <w:rFonts w:ascii="Arial" w:hAnsi="Arial" w:cs="Arial"/>
          <w:i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outlineLvl w:val="0"/>
        <w:rPr>
          <w:rFonts w:ascii="Arial" w:hAnsi="Arial" w:cs="Arial"/>
          <w:i/>
          <w:color w:val="000000"/>
          <w:sz w:val="22"/>
          <w:szCs w:val="22"/>
          <w:lang w:val="ru-RU"/>
        </w:rPr>
      </w:pPr>
    </w:p>
    <w:p w:rsidR="004D01E4" w:rsidRPr="004D01E4" w:rsidRDefault="004D01E4" w:rsidP="004D01E4">
      <w:pPr>
        <w:spacing w:after="120"/>
        <w:jc w:val="center"/>
        <w:outlineLvl w:val="0"/>
        <w:rPr>
          <w:rFonts w:ascii="Arial" w:hAnsi="Arial" w:cs="Arial"/>
          <w:i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00"/>
          <w:sz w:val="22"/>
          <w:szCs w:val="22"/>
          <w:lang w:val="ru-RU"/>
        </w:rPr>
        <w:t>Дмитрий Юрьевич Чельцов</w:t>
      </w: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i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00"/>
          <w:sz w:val="22"/>
          <w:szCs w:val="22"/>
          <w:lang w:val="ru-RU"/>
        </w:rPr>
        <w:t>Генеральный делегат,</w:t>
      </w:r>
    </w:p>
    <w:p w:rsidR="004D01E4" w:rsidRPr="004D01E4" w:rsidRDefault="004D01E4" w:rsidP="004D01E4">
      <w:pPr>
        <w:spacing w:after="120"/>
        <w:jc w:val="center"/>
        <w:rPr>
          <w:rFonts w:ascii="Arial" w:hAnsi="Arial" w:cs="Arial"/>
          <w:i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00"/>
          <w:sz w:val="22"/>
          <w:szCs w:val="22"/>
          <w:lang w:val="ru-RU"/>
        </w:rPr>
        <w:t xml:space="preserve">Глава Постоянного представительства </w:t>
      </w:r>
      <w:r w:rsidRPr="004D01E4">
        <w:rPr>
          <w:rFonts w:ascii="Arial" w:hAnsi="Arial" w:cs="Arial"/>
          <w:i/>
          <w:color w:val="000000"/>
          <w:sz w:val="22"/>
          <w:szCs w:val="22"/>
          <w:lang w:val="en-US"/>
        </w:rPr>
        <w:t>IRU</w:t>
      </w:r>
      <w:r w:rsidRPr="004D01E4">
        <w:rPr>
          <w:rFonts w:ascii="Arial" w:hAnsi="Arial" w:cs="Arial"/>
          <w:i/>
          <w:color w:val="000000"/>
          <w:sz w:val="22"/>
          <w:szCs w:val="22"/>
          <w:lang w:val="ru-RU"/>
        </w:rPr>
        <w:t xml:space="preserve"> в Евразии</w:t>
      </w:r>
    </w:p>
    <w:p w:rsidR="004D01E4" w:rsidRDefault="004D01E4" w:rsidP="004D01E4">
      <w:pPr>
        <w:spacing w:before="240" w:line="312" w:lineRule="auto"/>
        <w:rPr>
          <w:rFonts w:ascii="Arial" w:hAnsi="Arial" w:cs="Arial"/>
          <w:i/>
          <w:color w:val="0000FF"/>
          <w:sz w:val="22"/>
          <w:szCs w:val="22"/>
          <w:lang w:val="ru-RU"/>
        </w:rPr>
      </w:pPr>
    </w:p>
    <w:p w:rsidR="004D01E4" w:rsidRDefault="004D01E4" w:rsidP="004D01E4">
      <w:pPr>
        <w:spacing w:before="240" w:line="312" w:lineRule="auto"/>
        <w:rPr>
          <w:rFonts w:ascii="Arial" w:hAnsi="Arial" w:cs="Arial"/>
          <w:i/>
          <w:color w:val="0000FF"/>
          <w:sz w:val="22"/>
          <w:szCs w:val="22"/>
          <w:lang w:val="ru-RU"/>
        </w:rPr>
      </w:pPr>
    </w:p>
    <w:p w:rsidR="004D01E4" w:rsidRDefault="004D01E4" w:rsidP="004D01E4">
      <w:pPr>
        <w:spacing w:before="240" w:line="312" w:lineRule="auto"/>
        <w:rPr>
          <w:rFonts w:ascii="Arial" w:hAnsi="Arial" w:cs="Arial"/>
          <w:i/>
          <w:color w:val="0000FF"/>
          <w:sz w:val="22"/>
          <w:szCs w:val="22"/>
          <w:lang w:val="ru-RU"/>
        </w:rPr>
      </w:pPr>
    </w:p>
    <w:p w:rsidR="004D01E4" w:rsidRPr="004D01E4" w:rsidRDefault="004D01E4" w:rsidP="004D01E4">
      <w:pPr>
        <w:spacing w:before="240" w:line="312" w:lineRule="auto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1 (заставка)</w:t>
      </w:r>
    </w:p>
    <w:p w:rsidR="004D01E4" w:rsidRPr="004D01E4" w:rsidRDefault="004D01E4" w:rsidP="004D01E4">
      <w:pPr>
        <w:spacing w:before="240" w:line="312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color w:val="000000"/>
          <w:sz w:val="22"/>
          <w:szCs w:val="22"/>
          <w:lang w:val="ru-RU"/>
        </w:rPr>
        <w:t>Уважаемый господин Председатель,</w:t>
      </w:r>
    </w:p>
    <w:p w:rsidR="004D01E4" w:rsidRPr="004D01E4" w:rsidRDefault="004D01E4" w:rsidP="004D01E4">
      <w:pPr>
        <w:spacing w:before="240" w:line="312" w:lineRule="auto"/>
        <w:rPr>
          <w:rFonts w:ascii="Arial" w:hAnsi="Arial" w:cs="Arial"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color w:val="000000"/>
          <w:sz w:val="22"/>
          <w:szCs w:val="22"/>
          <w:lang w:val="ru-RU"/>
        </w:rPr>
        <w:t xml:space="preserve">Уважаемые дамы и господа,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4D01E4">
        <w:rPr>
          <w:rFonts w:ascii="Arial" w:hAnsi="Arial" w:cs="Arial"/>
          <w:color w:val="000000"/>
          <w:sz w:val="22"/>
          <w:szCs w:val="22"/>
          <w:lang w:val="ru-RU"/>
        </w:rPr>
        <w:t xml:space="preserve">Позвольте мне от имени </w:t>
      </w:r>
      <w:r w:rsidRPr="004D01E4">
        <w:rPr>
          <w:rFonts w:ascii="Arial" w:hAnsi="Arial" w:cs="Arial"/>
          <w:sz w:val="22"/>
          <w:szCs w:val="22"/>
          <w:lang w:val="ru-RU"/>
        </w:rPr>
        <w:t>Международного союза автомобильного транспорта и одновременно от Комитета по транспорту и таможне Ассоциации Европейского бизнеса в РФ  АЕБ), приветствовать всех участников</w:t>
      </w:r>
      <w:proofErr w:type="gramStart"/>
      <w:r w:rsidRPr="004D01E4">
        <w:rPr>
          <w:rFonts w:ascii="Arial" w:hAnsi="Arial" w:cs="Arial"/>
          <w:sz w:val="22"/>
          <w:szCs w:val="22"/>
          <w:lang w:val="ru-RU"/>
        </w:rPr>
        <w:t xml:space="preserve"> С</w:t>
      </w:r>
      <w:proofErr w:type="gramEnd"/>
      <w:r w:rsidRPr="004D01E4">
        <w:rPr>
          <w:rFonts w:ascii="Arial" w:hAnsi="Arial" w:cs="Arial"/>
          <w:sz w:val="22"/>
          <w:szCs w:val="22"/>
          <w:lang w:val="ru-RU"/>
        </w:rPr>
        <w:t>едьмого Международного форума «Транспортно-транзитный потенциал»</w:t>
      </w:r>
      <w:r w:rsidRPr="004D01E4"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 xml:space="preserve">Благодаря своему географическому положению, Российская Федерация обладает уникальным транзитно-транспортным потенциалом, рациональное использование которого открывает широкие возможности для развития бизнеса и привлечения инвестиций, что является важным фактором социально-экономического развития страны. 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 xml:space="preserve">Автомобильный транспорт является одним из самых динамично развивающихся и рыночно ориентированных видов транспорта. Автомобили обеспечивают слаженную работу других видов транспорта, предприятий производства и реализации продукции, сферы услуг.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bookmarkStart w:id="0" w:name="OLE_LINK1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2 (Соглашения и конвенц</w:t>
      </w:r>
      <w:proofErr w:type="gramStart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ии ОО</w:t>
      </w:r>
      <w:proofErr w:type="gramEnd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Н - основа гармонизированного развития автотранспорта, транзита и евроазиатских связей)</w:t>
      </w:r>
    </w:p>
    <w:bookmarkEnd w:id="0"/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 xml:space="preserve">Как показывает международная практика, широкое внедрение автомобильного транспорта в систему международных перевозок и транзита стало возможным благодаря внедрению единых стандартов, правил и технологий, зафиксированных в многосторонних соглашениях и конвенциях ООН.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В настоящее время Конвенц</w:t>
      </w:r>
      <w:proofErr w:type="gramStart"/>
      <w:r w:rsidRPr="004D01E4">
        <w:rPr>
          <w:rFonts w:ascii="Arial" w:hAnsi="Arial" w:cs="Arial"/>
          <w:sz w:val="22"/>
          <w:szCs w:val="22"/>
        </w:rPr>
        <w:t>ии ОО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Н устанавливают стандарты и рекомендации в таких ключевых областях как: 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инфраструктура автодорог; 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дорожное движение, знаки и сигналы; 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конструкция транспортных средств и их оборудования;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процедуры пересечения границ;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договорно-правовое оформление автомобильных перевозок;</w:t>
      </w:r>
    </w:p>
    <w:p w:rsidR="004D01E4" w:rsidRPr="004D01E4" w:rsidRDefault="004D01E4" w:rsidP="004D01E4">
      <w:pPr>
        <w:pStyle w:val="Verdanat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перевозки опасных и скоропортящихся грузов.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По данным Европейской экономической комисс</w:t>
      </w:r>
      <w:proofErr w:type="gramStart"/>
      <w:r w:rsidRPr="004D01E4">
        <w:rPr>
          <w:rFonts w:ascii="Arial" w:hAnsi="Arial" w:cs="Arial"/>
          <w:sz w:val="22"/>
          <w:szCs w:val="22"/>
        </w:rPr>
        <w:t>ии ОО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Н на 1 сентября 2014 года из общего числа присоединений к транспортным соглашениям и конвенциям примерно ¾ приходится на </w:t>
      </w:r>
      <w:r w:rsidRPr="004D01E4">
        <w:rPr>
          <w:rFonts w:ascii="Arial" w:hAnsi="Arial" w:cs="Arial"/>
          <w:b/>
          <w:sz w:val="22"/>
          <w:szCs w:val="22"/>
        </w:rPr>
        <w:t xml:space="preserve">27 актуальных соглашений и конвенций, регулирующих </w:t>
      </w:r>
      <w:r w:rsidRPr="004D01E4">
        <w:rPr>
          <w:rFonts w:ascii="Arial" w:hAnsi="Arial" w:cs="Arial"/>
          <w:b/>
          <w:sz w:val="22"/>
          <w:szCs w:val="22"/>
        </w:rPr>
        <w:lastRenderedPageBreak/>
        <w:t>автомобильный транспорт</w:t>
      </w:r>
      <w:r w:rsidRPr="004D01E4">
        <w:rPr>
          <w:rFonts w:ascii="Arial" w:hAnsi="Arial" w:cs="Arial"/>
          <w:sz w:val="22"/>
          <w:szCs w:val="22"/>
        </w:rPr>
        <w:t xml:space="preserve">. В них, так или иначе, участвуют </w:t>
      </w:r>
      <w:r w:rsidRPr="004D01E4">
        <w:rPr>
          <w:rFonts w:ascii="Arial" w:hAnsi="Arial" w:cs="Arial"/>
          <w:b/>
          <w:sz w:val="22"/>
          <w:szCs w:val="22"/>
        </w:rPr>
        <w:t>144 государства мира</w:t>
      </w:r>
      <w:r w:rsidRPr="004D01E4">
        <w:rPr>
          <w:rFonts w:ascii="Arial" w:hAnsi="Arial" w:cs="Arial"/>
          <w:sz w:val="22"/>
          <w:szCs w:val="22"/>
        </w:rPr>
        <w:t>, что еще раз доказывает признание преимуществ использования унифицированных стандартов и технологий перевозок в условиях глобализации.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Российская Федерация является одним из активных участников системы конвенций ООН в области автомобильного транспорта, </w:t>
      </w:r>
      <w:proofErr w:type="gramStart"/>
      <w:r w:rsidRPr="004D01E4">
        <w:rPr>
          <w:rFonts w:ascii="Arial" w:hAnsi="Arial" w:cs="Arial"/>
          <w:sz w:val="22"/>
          <w:szCs w:val="22"/>
        </w:rPr>
        <w:t>принимает участие в разработке международных правовых инструментов в рамках ООН и является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признанным лидером развития евроазиатских транспортных связей.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3 (Наиболее важные конвенц</w:t>
      </w:r>
      <w:proofErr w:type="gramStart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ии ОО</w:t>
      </w:r>
      <w:proofErr w:type="gramEnd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Н в области международных перевозок и транзита)</w:t>
      </w:r>
    </w:p>
    <w:p w:rsidR="004D01E4" w:rsidRPr="004D01E4" w:rsidRDefault="004D01E4" w:rsidP="004D01E4">
      <w:pPr>
        <w:pStyle w:val="DocAZ"/>
        <w:numPr>
          <w:ilvl w:val="0"/>
          <w:numId w:val="0"/>
        </w:numPr>
      </w:pPr>
      <w:r w:rsidRPr="004D01E4">
        <w:t xml:space="preserve">Среди 27 соглашений и конвенций ООН, касающихся автотранспорта, 4 являются основополагающими с точки зрения развития международных перевозок и транзита. Они касаются системы таможенного транзита, использования гармонизированных накладных, процедур пересечения границ и работы экипажей транспортных средств. Российская Федерация и практически все соседние страны являются участниками этих основополагающих конвенций ООН.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Слайд 4 (Членские ассоциации </w:t>
      </w:r>
      <w:r w:rsidRPr="004D01E4">
        <w:rPr>
          <w:rFonts w:ascii="Arial" w:hAnsi="Arial" w:cs="Arial"/>
          <w:i/>
          <w:color w:val="0000FF"/>
          <w:sz w:val="22"/>
          <w:szCs w:val="22"/>
        </w:rPr>
        <w:t>IRU</w:t>
      </w: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)</w:t>
      </w:r>
    </w:p>
    <w:p w:rsidR="004D01E4" w:rsidRPr="004D01E4" w:rsidRDefault="004D01E4" w:rsidP="004D01E4">
      <w:pPr>
        <w:pStyle w:val="DocAZ"/>
        <w:numPr>
          <w:ilvl w:val="0"/>
          <w:numId w:val="0"/>
        </w:numPr>
      </w:pPr>
      <w:r w:rsidRPr="004D01E4">
        <w:t>Международный союз автомобильного транспорта, членами которого являются 170 ассоциаций автотранспортного бизнеса из 74 государств на 5 континентах, является уполномоченным ООН органом по реализации и эффективному применению Конвенции МДП 1975 года.</w:t>
      </w:r>
    </w:p>
    <w:p w:rsidR="004D01E4" w:rsidRPr="004D01E4" w:rsidRDefault="004D01E4" w:rsidP="004D01E4">
      <w:pPr>
        <w:pStyle w:val="DocAZ"/>
        <w:numPr>
          <w:ilvl w:val="0"/>
          <w:numId w:val="0"/>
        </w:numPr>
        <w:rPr>
          <w:i/>
          <w:color w:val="0000FF"/>
        </w:rPr>
      </w:pPr>
      <w:r w:rsidRPr="004D01E4">
        <w:rPr>
          <w:i/>
          <w:color w:val="0000FF"/>
        </w:rPr>
        <w:t xml:space="preserve"> Слайд 5 (Соглашения и конвенц</w:t>
      </w:r>
      <w:proofErr w:type="gramStart"/>
      <w:r w:rsidRPr="004D01E4">
        <w:rPr>
          <w:i/>
          <w:color w:val="0000FF"/>
        </w:rPr>
        <w:t>ии ОО</w:t>
      </w:r>
      <w:proofErr w:type="gramEnd"/>
      <w:r w:rsidRPr="004D01E4">
        <w:rPr>
          <w:i/>
          <w:color w:val="0000FF"/>
        </w:rPr>
        <w:t>Н - основа гармонизированного развития автотранспорта, транзита и евроазиатских связей) (2)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МСАТ, на регулярной основе, проводит мониторинг применения соглашений и конвенций ООН в сфере автомобильного транспорта, в том числе в странах СНГ. Основной вывод проведенных исследований заключается в том, что повышение уровня гармонизации процедур и законодательства в области таможни и транспорта,  неизбежно способствует снижению транспортных издержек в цене внешнеторговых товаров.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В странах Европы, которые практически полностью гармонизировали свое законодательство с требованиями конвенций ООН, шаг за шагом создана высокоэффективная и интегрированная транспортная система. </w:t>
      </w:r>
      <w:proofErr w:type="gramStart"/>
      <w:r w:rsidRPr="004D01E4">
        <w:rPr>
          <w:rFonts w:ascii="Arial" w:hAnsi="Arial" w:cs="Arial"/>
          <w:sz w:val="22"/>
          <w:szCs w:val="22"/>
        </w:rPr>
        <w:t xml:space="preserve">При этом последовавший рост эффективности автомобильного транспорта стимулировал структурные изменения в экономике и торговле. </w:t>
      </w:r>
      <w:proofErr w:type="gramEnd"/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6 (МДП - Система международного таможенного транзита)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Система международных дорожных перевозок, основанная на Конвенции МДП 1975 года, позволяет </w:t>
      </w:r>
      <w:proofErr w:type="gramStart"/>
      <w:r w:rsidRPr="004D01E4">
        <w:rPr>
          <w:rFonts w:ascii="Arial" w:hAnsi="Arial" w:cs="Arial"/>
          <w:sz w:val="22"/>
          <w:szCs w:val="22"/>
        </w:rPr>
        <w:t>упрощать и обеспечивать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надежность транзита за счет перевозки грузов в автотранспортных средствах и контейнерах под таможенными печатями и пломбами транзитом по территории стран без проверок на границе на основе использования единого признанного и согласованного документа – книжки МДП.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Система МДП позволяет существенно сократить время ожидания на пограничных переходах, повысить безопасность, снизить расходы и повысить эффективность </w:t>
      </w:r>
      <w:r w:rsidRPr="004D01E4">
        <w:rPr>
          <w:rFonts w:ascii="Arial" w:hAnsi="Arial" w:cs="Arial"/>
          <w:sz w:val="22"/>
          <w:szCs w:val="22"/>
        </w:rPr>
        <w:lastRenderedPageBreak/>
        <w:t xml:space="preserve">международных автоперевозок во многих районах мира. Она рационализирует процедуры пересечения границ за счет выполнения таможенных формальностей не на самой границе, а в месте отправления и назначения, гарантируя выплату таможенных налогов и сборов и бесплатного предоставления интерактивной системы предварительного информирования.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7 (На глобальном уровне</w:t>
      </w:r>
      <w:r w:rsidRPr="004D01E4">
        <w:rPr>
          <w:rFonts w:ascii="Arial" w:hAnsi="Arial" w:cs="Arial"/>
          <w:i/>
          <w:color w:val="0000FF"/>
          <w:sz w:val="22"/>
          <w:szCs w:val="22"/>
          <w:lang w:val="fr-CH"/>
        </w:rPr>
        <w:t xml:space="preserve"> </w:t>
      </w: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МДП </w:t>
      </w:r>
      <w:proofErr w:type="gramStart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расширяет свои границы и открывает</w:t>
      </w:r>
      <w:proofErr w:type="gramEnd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 новые возможности для международной торговли)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Сегодня система МДП </w:t>
      </w:r>
      <w:proofErr w:type="gramStart"/>
      <w:r w:rsidRPr="004D01E4">
        <w:rPr>
          <w:rFonts w:ascii="Arial" w:hAnsi="Arial" w:cs="Arial"/>
          <w:sz w:val="22"/>
          <w:szCs w:val="22"/>
        </w:rPr>
        <w:t>расширяет свои границы и открывает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новые возможности для международной торговли. Такие страны как Китай, Саудовская Аравия, Пакистан и Индия уже выразили свою заинтересованность в присоединении к системе МДП с целью использования ее преимуществ.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В настоящее время Китайская Народная Республика завершает внутренние процедуры согласования и </w:t>
      </w:r>
      <w:proofErr w:type="gramStart"/>
      <w:r w:rsidRPr="004D01E4">
        <w:rPr>
          <w:rFonts w:ascii="Arial" w:hAnsi="Arial" w:cs="Arial"/>
          <w:sz w:val="22"/>
          <w:szCs w:val="22"/>
        </w:rPr>
        <w:t>готовится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объявить о своем присоединении к Конвенции МДП 1975 года в ближайшие месяцы.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Еще одним важным событием, которое приведет к дальнейшему упрощению международных перевозок и транзита, должно стать внедрение электронной книжки МДП. В настоящее время МСАТ совместно с Европейской комиссией ООН реализуют </w:t>
      </w:r>
      <w:proofErr w:type="spellStart"/>
      <w:r w:rsidRPr="004D01E4">
        <w:rPr>
          <w:rFonts w:ascii="Arial" w:hAnsi="Arial" w:cs="Arial"/>
          <w:sz w:val="22"/>
          <w:szCs w:val="22"/>
        </w:rPr>
        <w:t>пилотный</w:t>
      </w:r>
      <w:proofErr w:type="spellEnd"/>
      <w:r w:rsidRPr="004D01E4">
        <w:rPr>
          <w:rFonts w:ascii="Arial" w:hAnsi="Arial" w:cs="Arial"/>
          <w:sz w:val="22"/>
          <w:szCs w:val="22"/>
        </w:rPr>
        <w:t xml:space="preserve"> проект  «</w:t>
      </w:r>
      <w:proofErr w:type="spellStart"/>
      <w:r w:rsidRPr="004D01E4">
        <w:rPr>
          <w:rFonts w:ascii="Arial" w:hAnsi="Arial" w:cs="Arial"/>
          <w:sz w:val="22"/>
          <w:szCs w:val="22"/>
          <w:lang w:val="en-US"/>
        </w:rPr>
        <w:t>eTIR</w:t>
      </w:r>
      <w:proofErr w:type="spellEnd"/>
      <w:r w:rsidRPr="004D01E4">
        <w:rPr>
          <w:rFonts w:ascii="Arial" w:hAnsi="Arial" w:cs="Arial"/>
          <w:sz w:val="22"/>
          <w:szCs w:val="22"/>
        </w:rPr>
        <w:t xml:space="preserve">» по использованию электронной книжки МДП в Турции.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8 (Барьеры</w:t>
      </w:r>
      <w:proofErr w:type="gramStart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 ,</w:t>
      </w:r>
      <w:proofErr w:type="gramEnd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 препятствующие развитию международных автомобильных перевозок и транзита между Европой и Азией)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До недавнего времени (до середины 2013 года) использование Россией преимуществ, зафиксированных в международных соглашениях и конвенциях, являлось одним из драйверов устойчивого роста объемов перевозок, выполненных российским автотранспортным бизнесом.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При этом гармонизация российского законодательства с нормами Конвенций ООН, а также последовательная интеграция в мировую транспортную систему являются одними из главных приоритетов Транспортной стратегии Российской Федерации до 2030 года, направленных, в первую очередь, на создание безопасного и доступного транспорта, повышение его вклада в экономический рост и увеличение экспорта транспортных услуг.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Тем не менее,  в сфере международных автомобильных перевозок грузов, продолжают сохраняться как физические так и нефизические барьеры, препятствующие реализации транзитного потенциала России.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К физическим барьерам можно отнести несоответствие дорог международным стандартам качества,  отсутствие элементов безопасной и качественной придорожной инфраструктуры, нехватка мощностей международных автомобильных пунктов пропуска.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Комплекс вопросов состояния и развития национальной транспортной инфраструктуры с большим вниманием обсуждался на прошедшем 09.10.2014 г. под председательством Президента РФ заседании Президиума Госсовета в Новосибирске.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lastRenderedPageBreak/>
        <w:t xml:space="preserve">К барьерам нефизического характера могут быть отнесены: разрешительная система осуществления международных автоперевозок, недостаточно гармонизированные процедуры при пересечении границ, и т.п. </w:t>
      </w:r>
      <w:r w:rsidRPr="004D01E4">
        <w:rPr>
          <w:rFonts w:ascii="Arial" w:hAnsi="Arial" w:cs="Arial"/>
          <w:b/>
          <w:sz w:val="22"/>
          <w:szCs w:val="22"/>
        </w:rPr>
        <w:t>К сожалению, мы вынуждены констатировать, что влияние нефизических барьеров в сфере международных автомобильных перевозок в последнее время существенно возросло, что привело к увеличению транспортной составляющей в цене российских внешнеторговых операций.</w:t>
      </w:r>
      <w:r w:rsidRPr="004D01E4">
        <w:rPr>
          <w:rFonts w:ascii="Arial" w:hAnsi="Arial" w:cs="Arial"/>
          <w:sz w:val="22"/>
          <w:szCs w:val="22"/>
        </w:rPr>
        <w:t xml:space="preserve"> Ситуация с применением Конвенции МДП, о чем я подробнее остановлюсь ниже, является подтверждением сказанному.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Представляется очевидным, что одного лишь присоединения к конвенциям ООН недостаточно. Ключевым вопросом является выполнение принятых на себя обязательств и </w:t>
      </w:r>
      <w:r w:rsidRPr="004D01E4">
        <w:rPr>
          <w:rFonts w:ascii="Arial" w:hAnsi="Arial" w:cs="Arial"/>
          <w:b/>
          <w:sz w:val="22"/>
          <w:szCs w:val="22"/>
          <w:u w:val="single"/>
        </w:rPr>
        <w:t>обеспечение соответствия национального законодательства и нормативной правовой базы требованиям, заложенным в этих конвенциях</w:t>
      </w:r>
      <w:r w:rsidRPr="004D01E4">
        <w:rPr>
          <w:rFonts w:ascii="Arial" w:hAnsi="Arial" w:cs="Arial"/>
          <w:sz w:val="22"/>
          <w:szCs w:val="22"/>
        </w:rPr>
        <w:t xml:space="preserve">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9 (</w:t>
      </w:r>
      <w:proofErr w:type="gramStart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Комментарии бизнеса</w:t>
      </w:r>
      <w:proofErr w:type="gramEnd"/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 xml:space="preserve"> о проблемах действия Конвенции МДП в России)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 xml:space="preserve">Неоднозначность ситуации с применением Конвенции МДП на территории России вызывает серьезную озабоченность представителей </w:t>
      </w:r>
      <w:proofErr w:type="spellStart"/>
      <w:proofErr w:type="gramStart"/>
      <w:r w:rsidRPr="004D01E4">
        <w:rPr>
          <w:rFonts w:ascii="Arial" w:hAnsi="Arial" w:cs="Arial"/>
          <w:sz w:val="22"/>
          <w:szCs w:val="22"/>
          <w:lang w:val="ru-RU"/>
        </w:rPr>
        <w:t>бизнес-сообществ</w:t>
      </w:r>
      <w:proofErr w:type="spellEnd"/>
      <w:proofErr w:type="gramEnd"/>
      <w:r w:rsidRPr="004D01E4">
        <w:rPr>
          <w:rFonts w:ascii="Arial" w:hAnsi="Arial" w:cs="Arial"/>
          <w:sz w:val="22"/>
          <w:szCs w:val="22"/>
          <w:lang w:val="ru-RU"/>
        </w:rPr>
        <w:t xml:space="preserve"> и транспортных операторов. Ограничения по применению Конвенции действуют, несмотря на отсутствие каких либо правовых актов, ограничивающих применение системы МДП в Российской Федерации.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>Единичные случаи, когда книжки МДП по настоянию перевозчиков принимались для оформления транзита при ввозе товара в Российскую Федерацию, связаны с обязательным проведением 100%-го таможенного досмотра товаров, который является мерой по минимизации риска</w:t>
      </w:r>
      <w:proofErr w:type="gramStart"/>
      <w:r w:rsidRPr="004D01E4">
        <w:rPr>
          <w:rFonts w:ascii="Arial" w:hAnsi="Arial" w:cs="Arial"/>
          <w:sz w:val="22"/>
          <w:szCs w:val="22"/>
          <w:lang w:val="ru-RU"/>
        </w:rPr>
        <w:t xml:space="preserve"> .</w:t>
      </w:r>
      <w:proofErr w:type="gramEnd"/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>В тех случаях, когда таможенными органами применялась такая мера, процедуры, связанные с таможенным досмотром, занимали 3 - 8 дней, что в свою очередь приводило к неоправданным расходам перевозчиков, задержкам к поставке товаров получателям, дополнительной нагрузке на таможенные органы.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>В последнее время многие импортеры настаивают на неиспользовании книжек МДП при планировании транспортных операций, чтобы исключить неизбежные задержки при доставке товаров и сопутствующие дополнительные издержки.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10 (Исследования о неприменении МДП в России)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>По результатам исследований, например, “</w:t>
      </w:r>
      <w:r w:rsidRPr="004D01E4">
        <w:rPr>
          <w:rFonts w:ascii="Arial" w:hAnsi="Arial" w:cs="Arial"/>
          <w:sz w:val="22"/>
          <w:szCs w:val="22"/>
          <w:lang w:val="en-US"/>
        </w:rPr>
        <w:t>Copenhagen</w:t>
      </w:r>
      <w:r w:rsidRPr="004D01E4">
        <w:rPr>
          <w:rFonts w:ascii="Arial" w:hAnsi="Arial" w:cs="Arial"/>
          <w:sz w:val="22"/>
          <w:szCs w:val="22"/>
          <w:lang w:val="ru-RU"/>
        </w:rPr>
        <w:t xml:space="preserve"> </w:t>
      </w:r>
      <w:r w:rsidRPr="004D01E4">
        <w:rPr>
          <w:rFonts w:ascii="Arial" w:hAnsi="Arial" w:cs="Arial"/>
          <w:sz w:val="22"/>
          <w:szCs w:val="22"/>
          <w:lang w:val="en-US"/>
        </w:rPr>
        <w:t>Economics</w:t>
      </w:r>
      <w:r w:rsidRPr="004D01E4">
        <w:rPr>
          <w:rFonts w:ascii="Arial" w:hAnsi="Arial" w:cs="Arial"/>
          <w:sz w:val="22"/>
          <w:szCs w:val="22"/>
          <w:lang w:val="ru-RU"/>
        </w:rPr>
        <w:t>”, установлено, что пользование совокупностью услуг, связанных с получением национального поручительства превышает стоимость книжки МДП в 3-7 раз. При этом зафиксированы случаи, когда стоимость дополнительных услуг  превышала стоимость книжки МДП в 10-30 раз.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 xml:space="preserve">При этом значительно страдает транзитный потенциал России. Хотел бы привести один пример. По данным Ассоциации международных автомобильных перевозчиков Азербайджана до 2013 года доставка грузов между Азербайджаном и Европой осуществлялись на 90% транзитом через Россию, на 10% - обходными маршрутами по коридору ТРАСЕКА. С введением ограничений использования книжек МДП в России ситуация изменилась на </w:t>
      </w:r>
      <w:proofErr w:type="gramStart"/>
      <w:r w:rsidRPr="004D01E4">
        <w:rPr>
          <w:rFonts w:ascii="Arial" w:hAnsi="Arial" w:cs="Arial"/>
          <w:sz w:val="22"/>
          <w:szCs w:val="22"/>
          <w:lang w:val="ru-RU"/>
        </w:rPr>
        <w:t>противоположную</w:t>
      </w:r>
      <w:proofErr w:type="gramEnd"/>
      <w:r w:rsidRPr="004D01E4">
        <w:rPr>
          <w:rFonts w:ascii="Arial" w:hAnsi="Arial" w:cs="Arial"/>
          <w:sz w:val="22"/>
          <w:szCs w:val="22"/>
          <w:lang w:val="ru-RU"/>
        </w:rPr>
        <w:t xml:space="preserve">. В настоящее время 90% всех грузов между Азербайджаном и странами Европы идут по коридору ТРАСЕКА в обход России и лишь 10% - через территорию нашей страны.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lastRenderedPageBreak/>
        <w:t xml:space="preserve">В обстановке действующих ограничений по применению международного договора Российской Федерации, создаются более выгодные и исключительные условия для вновь созданных компаний, занимающихся выдачей поручительств. 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>Вместе с тем, членство Российской Федерации в Конвенции МДП 1975 г. предполагает непрерывное и равноправное ее применение на своей территории.</w:t>
      </w:r>
    </w:p>
    <w:p w:rsidR="004D01E4" w:rsidRPr="004D01E4" w:rsidRDefault="004D01E4" w:rsidP="004D01E4">
      <w:pPr>
        <w:pStyle w:val="ListParagraph"/>
        <w:spacing w:before="240" w:after="0" w:line="240" w:lineRule="auto"/>
        <w:ind w:left="0"/>
        <w:jc w:val="both"/>
        <w:rPr>
          <w:rFonts w:ascii="Arial" w:hAnsi="Arial" w:cs="Arial"/>
        </w:rPr>
      </w:pPr>
      <w:proofErr w:type="gramStart"/>
      <w:r w:rsidRPr="004D01E4">
        <w:rPr>
          <w:rFonts w:ascii="Arial" w:hAnsi="Arial" w:cs="Arial"/>
        </w:rPr>
        <w:t xml:space="preserve">Представители </w:t>
      </w:r>
      <w:proofErr w:type="spellStart"/>
      <w:r w:rsidRPr="004D01E4">
        <w:rPr>
          <w:rFonts w:ascii="Arial" w:hAnsi="Arial" w:cs="Arial"/>
        </w:rPr>
        <w:t>бизнес-сообщества</w:t>
      </w:r>
      <w:proofErr w:type="spellEnd"/>
      <w:r w:rsidRPr="004D01E4">
        <w:rPr>
          <w:rFonts w:ascii="Arial" w:hAnsi="Arial" w:cs="Arial"/>
        </w:rPr>
        <w:t xml:space="preserve"> разделяют мнение экспертов о том, что ограничения и риск невозможности применения Конвенции МДП в Российской Федерации необоснованно затрудняют международные автомобильные перевозки и ведение иных смежных видов предпринимательской деятельности, способствует росту затрат бизнеса на приобретение и предоставление российским таможенным органам обеспечения уплаты таможенных пошлин и налогов при оформлении процедур таможенного транзита иностранных товаров, поскольку объективно гарантии по книжкам МДП</w:t>
      </w:r>
      <w:proofErr w:type="gramEnd"/>
      <w:r w:rsidRPr="004D01E4">
        <w:rPr>
          <w:rFonts w:ascii="Arial" w:hAnsi="Arial" w:cs="Arial"/>
        </w:rPr>
        <w:t xml:space="preserve"> имеют наименьшую стоимость по сравнению с иными способами обеспечения уплаты таможенных пошлин, налогов, применяемых при таможенном транзите.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Прежде чем проинформировать Вас о позиции членов Ассоциации Европейского Бизнеса (АЕБ) по вопросу применения Конвенции МДП в Российской Федерации, хотел бы напомнить, что </w:t>
      </w:r>
      <w:r w:rsidRPr="004D01E4">
        <w:rPr>
          <w:rFonts w:ascii="Arial" w:hAnsi="Arial" w:cs="Arial"/>
          <w:color w:val="000000"/>
          <w:sz w:val="22"/>
          <w:szCs w:val="22"/>
        </w:rPr>
        <w:t>Ассоциация Европейского Бизнеса была основана в 1995 году. Эта некоммерческая организация объединяет более 630 компаний из стран Евросоюза и России. Среди членов ассоциации - крупные многонациональные корпорации, предприятия малого и среднего бизнеса. АЕВ представляет примерно 67% от общего объема прямых иностранных инвестиций в экономику Российской Федерации. Комитет по транспорту и таможне АЕВ на протяжении многих лет проводит активную работу по совершенствованию и гармонизации законодательства в таможенной и транспортной сфере.</w:t>
      </w:r>
    </w:p>
    <w:p w:rsidR="004D01E4" w:rsidRPr="004D01E4" w:rsidRDefault="004D01E4" w:rsidP="004D01E4">
      <w:pPr>
        <w:spacing w:before="240"/>
        <w:jc w:val="both"/>
        <w:rPr>
          <w:rFonts w:ascii="Arial" w:hAnsi="Arial" w:cs="Arial"/>
          <w:sz w:val="22"/>
          <w:szCs w:val="22"/>
          <w:lang w:val="ru-RU"/>
        </w:rPr>
      </w:pPr>
      <w:proofErr w:type="gramStart"/>
      <w:r w:rsidRPr="004D01E4">
        <w:rPr>
          <w:rFonts w:ascii="Arial" w:hAnsi="Arial" w:cs="Arial"/>
          <w:sz w:val="22"/>
          <w:szCs w:val="22"/>
          <w:lang w:val="ru-RU"/>
        </w:rPr>
        <w:t xml:space="preserve">По мнению членов Комитета АЕВ снятие ограничений по применению Конвенции МДП на всей территории России и активная работа по совершенствованию положений Конвенции МДП в рамках Европейской Экономической Комиссии ООН с участием ФТС России и Министерства транспорта будут способствовать развитию международных автомобильных перевозок и эффективной реализации </w:t>
      </w:r>
      <w:proofErr w:type="spellStart"/>
      <w:r w:rsidRPr="004D01E4">
        <w:rPr>
          <w:rFonts w:ascii="Arial" w:hAnsi="Arial" w:cs="Arial"/>
          <w:sz w:val="22"/>
          <w:szCs w:val="22"/>
          <w:lang w:val="ru-RU"/>
        </w:rPr>
        <w:t>транспортно-логистического</w:t>
      </w:r>
      <w:proofErr w:type="spellEnd"/>
      <w:r w:rsidRPr="004D01E4">
        <w:rPr>
          <w:rFonts w:ascii="Arial" w:hAnsi="Arial" w:cs="Arial"/>
          <w:sz w:val="22"/>
          <w:szCs w:val="22"/>
          <w:lang w:val="ru-RU"/>
        </w:rPr>
        <w:t xml:space="preserve"> и транзитного потенциала на национальном и глобальном уровне.</w:t>
      </w:r>
      <w:proofErr w:type="gramEnd"/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11 (Соглашение ШОС и перспективы развития автоперевозок и транзита на обширном пространстве между Китаем и Европой)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Сегодня складываются благоприятные условия для развития автоперевозок и транзита на обширном пространстве между Европой и Китаем. В 2014 году произошли 2 </w:t>
      </w:r>
      <w:proofErr w:type="gramStart"/>
      <w:r w:rsidRPr="004D01E4">
        <w:rPr>
          <w:rFonts w:ascii="Arial" w:hAnsi="Arial" w:cs="Arial"/>
          <w:sz w:val="22"/>
          <w:szCs w:val="22"/>
        </w:rPr>
        <w:t>ключевых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события, которые, позволят увеличить в будущем вклад автомобильного транспорта в реализацию транзитного потенциала России: </w:t>
      </w:r>
    </w:p>
    <w:p w:rsidR="004D01E4" w:rsidRPr="004D01E4" w:rsidRDefault="004D01E4" w:rsidP="004D01E4">
      <w:pPr>
        <w:pStyle w:val="DocAZ"/>
        <w:tabs>
          <w:tab w:val="clear" w:pos="1440"/>
          <w:tab w:val="num" w:pos="360"/>
        </w:tabs>
        <w:ind w:left="360"/>
      </w:pPr>
      <w:r w:rsidRPr="004D01E4">
        <w:t xml:space="preserve">Во-первых, это подписание 29 мая 2014 года в Астане </w:t>
      </w:r>
      <w:r w:rsidRPr="004D01E4">
        <w:rPr>
          <w:b/>
        </w:rPr>
        <w:t>Договора о создании Евразийского экономического союза</w:t>
      </w:r>
      <w:r w:rsidRPr="004D01E4">
        <w:t xml:space="preserve">, в котором будет сформирован общий рынок автотранспортных услуг и единое транзитное пространство. Все это, включая  создание скоростного автодорожного коридора Западная Европа – Западный Китай, а также устранение барьеров внутри Союза, позволит наращивать объемы международных автомобильных перевозок на большие расстояния. </w:t>
      </w:r>
    </w:p>
    <w:p w:rsidR="004D01E4" w:rsidRPr="004D01E4" w:rsidRDefault="004D01E4" w:rsidP="004D01E4">
      <w:pPr>
        <w:pStyle w:val="DocAZ"/>
        <w:tabs>
          <w:tab w:val="clear" w:pos="1440"/>
          <w:tab w:val="num" w:pos="360"/>
        </w:tabs>
        <w:ind w:left="360"/>
      </w:pPr>
      <w:r w:rsidRPr="004D01E4">
        <w:lastRenderedPageBreak/>
        <w:t xml:space="preserve">Во-вторых, это подписание 2 сентября 2014 года в Душанбе </w:t>
      </w:r>
      <w:r w:rsidRPr="004D01E4">
        <w:rPr>
          <w:b/>
        </w:rPr>
        <w:t>Межправительственного соглашения ШОС о создании благоприятных условий для международных автомобильных перевозок</w:t>
      </w:r>
      <w:r w:rsidRPr="004D01E4">
        <w:t xml:space="preserve">. Подписание и вступление в силу этого соглашения создает правовой механизм развития перевозок грузов в Китай и из Китая, начиная с 2017 г. </w:t>
      </w:r>
    </w:p>
    <w:p w:rsidR="004D01E4" w:rsidRPr="004D01E4" w:rsidRDefault="004D01E4" w:rsidP="004D01E4">
      <w:pPr>
        <w:spacing w:before="240"/>
        <w:rPr>
          <w:rFonts w:ascii="Arial" w:hAnsi="Arial" w:cs="Arial"/>
          <w:i/>
          <w:color w:val="0000FF"/>
          <w:sz w:val="22"/>
          <w:szCs w:val="22"/>
          <w:lang w:val="ru-RU"/>
        </w:rPr>
      </w:pPr>
      <w:r w:rsidRPr="004D01E4">
        <w:rPr>
          <w:rFonts w:ascii="Arial" w:hAnsi="Arial" w:cs="Arial"/>
          <w:i/>
          <w:color w:val="0000FF"/>
          <w:sz w:val="22"/>
          <w:szCs w:val="22"/>
          <w:lang w:val="ru-RU"/>
        </w:rPr>
        <w:t>Слайд 12 (Географический охват Конвенции МДП)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Расширение границ применения конвенций и соглашений ООН, </w:t>
      </w:r>
      <w:proofErr w:type="gramStart"/>
      <w:r w:rsidRPr="004D01E4">
        <w:rPr>
          <w:rFonts w:ascii="Arial" w:hAnsi="Arial" w:cs="Arial"/>
          <w:sz w:val="22"/>
          <w:szCs w:val="22"/>
        </w:rPr>
        <w:t>и</w:t>
      </w:r>
      <w:proofErr w:type="gramEnd"/>
      <w:r w:rsidRPr="004D01E4">
        <w:rPr>
          <w:rFonts w:ascii="Arial" w:hAnsi="Arial" w:cs="Arial"/>
          <w:sz w:val="22"/>
          <w:szCs w:val="22"/>
        </w:rPr>
        <w:t xml:space="preserve"> прежде всего Конвенции МДП, свидетельствует о жизнеспособности, </w:t>
      </w:r>
      <w:proofErr w:type="spellStart"/>
      <w:r w:rsidRPr="004D01E4">
        <w:rPr>
          <w:rFonts w:ascii="Arial" w:hAnsi="Arial" w:cs="Arial"/>
          <w:sz w:val="22"/>
          <w:szCs w:val="22"/>
        </w:rPr>
        <w:t>востребованности</w:t>
      </w:r>
      <w:proofErr w:type="spellEnd"/>
      <w:r w:rsidRPr="004D01E4">
        <w:rPr>
          <w:rFonts w:ascii="Arial" w:hAnsi="Arial" w:cs="Arial"/>
          <w:sz w:val="22"/>
          <w:szCs w:val="22"/>
        </w:rPr>
        <w:t xml:space="preserve"> и признании эффективности этих международных инструментов.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Многие региональные и национальные проекты, в том числе реализация Договора о евразийском экономическом союзе, а также Соглашения ШОС, будут зависеть от того насколько нормы и стандарты, заложенные в Конвенциях ООН, действуют и будут действовать на всем евроазиатском пространстве.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>Расширение географического охвата Конвенции МДП на Восток предоставляет</w:t>
      </w:r>
      <w:bookmarkStart w:id="1" w:name="_GoBack"/>
      <w:bookmarkEnd w:id="1"/>
      <w:r w:rsidRPr="004D01E4">
        <w:rPr>
          <w:rFonts w:ascii="Arial" w:hAnsi="Arial" w:cs="Arial"/>
          <w:sz w:val="22"/>
          <w:szCs w:val="22"/>
        </w:rPr>
        <w:t xml:space="preserve"> новые уникальные возможности для увеличения международных автомобильных перевозок и транзита между Китаем и зарубежными странами. </w:t>
      </w:r>
      <w:proofErr w:type="gramStart"/>
      <w:r w:rsidRPr="004D01E4">
        <w:rPr>
          <w:rFonts w:ascii="Arial" w:hAnsi="Arial" w:cs="Arial"/>
          <w:sz w:val="22"/>
          <w:szCs w:val="22"/>
        </w:rPr>
        <w:t xml:space="preserve">Уверен, что отечественная транспортная отрасль заинтересована в том, чтобы российские перевозчики полноправно участвовали в этих перевозках с применением книжек МДП. </w:t>
      </w:r>
      <w:proofErr w:type="gramEnd"/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</w:rPr>
      </w:pPr>
      <w:r w:rsidRPr="004D01E4">
        <w:rPr>
          <w:rFonts w:ascii="Arial" w:hAnsi="Arial" w:cs="Arial"/>
          <w:sz w:val="22"/>
          <w:szCs w:val="22"/>
        </w:rPr>
        <w:t xml:space="preserve">В заключение, я хотел бы еще раз поблагодарить организаторов за возможность выступить на этом важном форуме, результаты которого, уверен, окажут реальное содействие реализации стратегических задач России в области транспортной политики. </w:t>
      </w:r>
    </w:p>
    <w:p w:rsidR="004D01E4" w:rsidRPr="004D01E4" w:rsidRDefault="004D01E4" w:rsidP="004D01E4">
      <w:pPr>
        <w:pStyle w:val="Verdanatxt"/>
        <w:rPr>
          <w:rFonts w:ascii="Arial" w:hAnsi="Arial" w:cs="Arial"/>
          <w:sz w:val="22"/>
          <w:szCs w:val="22"/>
          <w:lang w:val="en-US"/>
        </w:rPr>
      </w:pPr>
      <w:r w:rsidRPr="004D01E4">
        <w:rPr>
          <w:rFonts w:ascii="Arial" w:hAnsi="Arial" w:cs="Arial"/>
          <w:sz w:val="22"/>
          <w:szCs w:val="22"/>
        </w:rPr>
        <w:t>Спасибо за внимание!</w:t>
      </w:r>
    </w:p>
    <w:p w:rsidR="001159B4" w:rsidRPr="004D01E4" w:rsidRDefault="00291FB1" w:rsidP="009D36E0">
      <w:pPr>
        <w:jc w:val="both"/>
        <w:rPr>
          <w:rFonts w:ascii="Arial" w:hAnsi="Arial" w:cs="Arial"/>
          <w:sz w:val="22"/>
          <w:szCs w:val="22"/>
          <w:lang w:val="ru-RU"/>
        </w:rPr>
      </w:pP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  <w:r w:rsidRPr="004D01E4">
        <w:rPr>
          <w:rFonts w:ascii="Arial" w:hAnsi="Arial" w:cs="Arial"/>
          <w:sz w:val="22"/>
          <w:szCs w:val="22"/>
          <w:lang w:val="ru-RU"/>
        </w:rPr>
        <w:tab/>
      </w:r>
    </w:p>
    <w:p w:rsidR="00061436" w:rsidRPr="004D01E4" w:rsidRDefault="00061436" w:rsidP="009F6AD3">
      <w:pPr>
        <w:pStyle w:val="DMEBodyText"/>
        <w:rPr>
          <w:lang w:val="ru-RU"/>
        </w:rPr>
      </w:pPr>
    </w:p>
    <w:sectPr w:rsidR="00061436" w:rsidRPr="004D01E4" w:rsidSect="00710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336" w:right="1377" w:bottom="1418" w:left="1800" w:header="794" w:footer="44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E4" w:rsidRDefault="004D01E4">
      <w:r>
        <w:separator/>
      </w:r>
    </w:p>
  </w:endnote>
  <w:endnote w:type="continuationSeparator" w:id="0">
    <w:p w:rsidR="004D01E4" w:rsidRDefault="004D0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DC" w:rsidRDefault="002E49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DC" w:rsidRDefault="002E49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BB" w:rsidRPr="009775CD" w:rsidRDefault="002E49DC" w:rsidP="009F6AD3">
    <w:pPr>
      <w:pStyle w:val="Footer"/>
      <w:ind w:left="-1800" w:right="-54"/>
      <w:jc w:val="right"/>
    </w:pPr>
    <w:r>
      <w:object w:dxaOrig="16193" w:dyaOrig="1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5pt;height:93pt" o:ole="">
          <v:imagedata r:id="rId1" o:title=""/>
          <o:lock v:ext="edit" aspectratio="f"/>
        </v:shape>
        <o:OLEObject Type="Embed" ProgID="Unknown" ShapeID="_x0000_i1025" DrawAspect="Content" ObjectID="_1474787217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E4" w:rsidRDefault="004D01E4">
      <w:r>
        <w:separator/>
      </w:r>
    </w:p>
  </w:footnote>
  <w:footnote w:type="continuationSeparator" w:id="0">
    <w:p w:rsidR="004D01E4" w:rsidRDefault="004D0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DC" w:rsidRDefault="002E49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FB1" w:rsidRDefault="00F42BF7" w:rsidP="001159B4">
    <w:pPr>
      <w:pStyle w:val="DMEBodyText"/>
      <w:jc w:val="center"/>
    </w:pPr>
    <w:fldSimple w:instr=" PAGE ">
      <w:r w:rsidR="004D01E4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FB1" w:rsidRDefault="002E49DC" w:rsidP="009F6AD3">
    <w:pPr>
      <w:ind w:left="-1800"/>
    </w:pPr>
    <w:r>
      <w:rPr>
        <w:noProof/>
        <w:lang w:eastAsia="en-GB"/>
      </w:rPr>
      <w:drawing>
        <wp:inline distT="0" distB="0" distL="0" distR="0">
          <wp:extent cx="7477125" cy="447675"/>
          <wp:effectExtent l="19050" t="0" r="9525" b="0"/>
          <wp:docPr id="1" name="Picture 8" descr="C:\Temp\12345\Letterhead\header_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Temp\12345\Letterhead\header_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4DD3"/>
    <w:multiLevelType w:val="multilevel"/>
    <w:tmpl w:val="34E0FBC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567"/>
      </w:pPr>
      <w:rPr>
        <w:rFonts w:ascii="Symbol" w:hAnsi="Symbol" w:cs="Symbol"/>
      </w:rPr>
    </w:lvl>
    <w:lvl w:ilvl="5">
      <w:start w:val="1"/>
      <w:numFmt w:val="bullet"/>
      <w:lvlText w:val=""/>
      <w:lvlJc w:val="left"/>
      <w:pPr>
        <w:tabs>
          <w:tab w:val="num" w:pos="850"/>
        </w:tabs>
        <w:ind w:left="567"/>
      </w:pPr>
      <w:rPr>
        <w:rFonts w:ascii="Monotype Sorts" w:hAnsi="Monotype Sorts" w:cs="Monotype Sorts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55C36470"/>
    <w:multiLevelType w:val="hybridMultilevel"/>
    <w:tmpl w:val="C9EE3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8D1340"/>
    <w:multiLevelType w:val="hybridMultilevel"/>
    <w:tmpl w:val="F28EF342"/>
    <w:lvl w:ilvl="0" w:tplc="CCF0BEB0">
      <w:start w:val="1"/>
      <w:numFmt w:val="bullet"/>
      <w:pStyle w:val="DocAZ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 w:val="00005CBB"/>
    <w:rsid w:val="00027A83"/>
    <w:rsid w:val="00061436"/>
    <w:rsid w:val="00091A3A"/>
    <w:rsid w:val="00092074"/>
    <w:rsid w:val="000C66F4"/>
    <w:rsid w:val="001159B4"/>
    <w:rsid w:val="00116653"/>
    <w:rsid w:val="001A78F5"/>
    <w:rsid w:val="001C2026"/>
    <w:rsid w:val="001C31D5"/>
    <w:rsid w:val="00203E0C"/>
    <w:rsid w:val="002128C2"/>
    <w:rsid w:val="00291FB1"/>
    <w:rsid w:val="002E49DC"/>
    <w:rsid w:val="00326795"/>
    <w:rsid w:val="003434B2"/>
    <w:rsid w:val="003926FE"/>
    <w:rsid w:val="00443B74"/>
    <w:rsid w:val="004D01E4"/>
    <w:rsid w:val="004D2BE5"/>
    <w:rsid w:val="00555908"/>
    <w:rsid w:val="00561688"/>
    <w:rsid w:val="006079A6"/>
    <w:rsid w:val="0062722E"/>
    <w:rsid w:val="006653B1"/>
    <w:rsid w:val="00667790"/>
    <w:rsid w:val="006879AE"/>
    <w:rsid w:val="006F4941"/>
    <w:rsid w:val="00710E74"/>
    <w:rsid w:val="00732FEB"/>
    <w:rsid w:val="0076569A"/>
    <w:rsid w:val="007739C8"/>
    <w:rsid w:val="00774607"/>
    <w:rsid w:val="007A5336"/>
    <w:rsid w:val="007E6246"/>
    <w:rsid w:val="00836891"/>
    <w:rsid w:val="008572F5"/>
    <w:rsid w:val="0087230D"/>
    <w:rsid w:val="008B2EF2"/>
    <w:rsid w:val="00955B46"/>
    <w:rsid w:val="00957B54"/>
    <w:rsid w:val="009775CD"/>
    <w:rsid w:val="009D36E0"/>
    <w:rsid w:val="009F2642"/>
    <w:rsid w:val="009F6AD3"/>
    <w:rsid w:val="00A012F7"/>
    <w:rsid w:val="00A432EC"/>
    <w:rsid w:val="00A46C47"/>
    <w:rsid w:val="00A71B2B"/>
    <w:rsid w:val="00AE0784"/>
    <w:rsid w:val="00B11DD5"/>
    <w:rsid w:val="00C7354C"/>
    <w:rsid w:val="00DF3AC1"/>
    <w:rsid w:val="00E14EEA"/>
    <w:rsid w:val="00E84C6D"/>
    <w:rsid w:val="00E87920"/>
    <w:rsid w:val="00EE5E78"/>
    <w:rsid w:val="00F20F47"/>
    <w:rsid w:val="00F42BF7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074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9B4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1159B4"/>
    <w:pPr>
      <w:tabs>
        <w:tab w:val="center" w:pos="4677"/>
        <w:tab w:val="right" w:pos="9355"/>
      </w:tabs>
    </w:pPr>
  </w:style>
  <w:style w:type="paragraph" w:customStyle="1" w:styleId="DocTitle">
    <w:name w:val="DocTitle"/>
    <w:basedOn w:val="Normal"/>
    <w:rsid w:val="00A46C47"/>
    <w:pPr>
      <w:spacing w:before="120" w:after="120"/>
      <w:jc w:val="center"/>
    </w:pPr>
    <w:rPr>
      <w:rFonts w:ascii="Arial" w:hAnsi="Arial" w:cs="Arial"/>
      <w:b/>
      <w:bCs/>
      <w:caps/>
      <w:sz w:val="22"/>
      <w:szCs w:val="22"/>
    </w:rPr>
  </w:style>
  <w:style w:type="paragraph" w:customStyle="1" w:styleId="DMEBodyText">
    <w:name w:val="DMEBodyText"/>
    <w:basedOn w:val="Normal"/>
    <w:rsid w:val="001159B4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EE5E7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D01E4"/>
    <w:rPr>
      <w:sz w:val="24"/>
      <w:szCs w:val="24"/>
      <w:lang w:val="en-GB"/>
    </w:rPr>
  </w:style>
  <w:style w:type="character" w:styleId="PageNumber">
    <w:name w:val="page number"/>
    <w:basedOn w:val="DefaultParagraphFont"/>
    <w:rsid w:val="004D01E4"/>
  </w:style>
  <w:style w:type="character" w:customStyle="1" w:styleId="HeaderChar">
    <w:name w:val="Header Char"/>
    <w:basedOn w:val="DefaultParagraphFont"/>
    <w:link w:val="Header"/>
    <w:rsid w:val="004D01E4"/>
    <w:rPr>
      <w:sz w:val="24"/>
      <w:szCs w:val="24"/>
      <w:lang w:val="en-GB"/>
    </w:rPr>
  </w:style>
  <w:style w:type="paragraph" w:customStyle="1" w:styleId="DocAZ">
    <w:name w:val="Doc_AZ"/>
    <w:basedOn w:val="Normal"/>
    <w:autoRedefine/>
    <w:rsid w:val="004D01E4"/>
    <w:pPr>
      <w:numPr>
        <w:numId w:val="4"/>
      </w:numPr>
      <w:spacing w:before="240"/>
      <w:jc w:val="both"/>
    </w:pPr>
    <w:rPr>
      <w:rFonts w:ascii="Arial" w:hAnsi="Arial" w:cs="Arial"/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99"/>
    <w:qFormat/>
    <w:rsid w:val="004D01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Verdanatxt">
    <w:name w:val="Verdana_txt"/>
    <w:basedOn w:val="Normal"/>
    <w:rsid w:val="004D01E4"/>
    <w:pPr>
      <w:widowControl w:val="0"/>
      <w:spacing w:before="240"/>
      <w:jc w:val="both"/>
    </w:pPr>
    <w:rPr>
      <w:rFonts w:ascii="Verdana" w:hAnsi="Verdana"/>
      <w:snapToGrid w:val="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s\2014\Letterhead%20Doc\Letterhead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Letterhead_ru</Template>
  <TotalTime>5</TotalTime>
  <Pages>7</Pages>
  <Words>1817</Words>
  <Characters>13124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CLCEI/M1230/GBY</vt:lpstr>
    </vt:vector>
  </TitlesOfParts>
  <Company>IRU</Company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CLCEI/M1230/GBY</dc:title>
  <dc:creator>eanfimova</dc:creator>
  <cp:lastModifiedBy>eanfimova</cp:lastModifiedBy>
  <cp:revision>1</cp:revision>
  <cp:lastPrinted>2013-10-04T13:46:00Z</cp:lastPrinted>
  <dcterms:created xsi:type="dcterms:W3CDTF">2014-10-14T06:16:00Z</dcterms:created>
  <dcterms:modified xsi:type="dcterms:W3CDTF">2014-10-14T06:21:00Z</dcterms:modified>
</cp:coreProperties>
</file>